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 xml:space="preserve">Аналитический </w:t>
      </w:r>
      <w:r>
        <w:rPr>
          <w:b/>
          <w:sz w:val="28"/>
          <w:szCs w:val="28"/>
          <w:lang w:val="ru-RU"/>
        </w:rPr>
        <w:t>отчёт</w:t>
      </w:r>
      <w:r>
        <w:rPr>
          <w:b/>
          <w:sz w:val="28"/>
          <w:szCs w:val="28"/>
        </w:rPr>
        <w:t xml:space="preserve"> </w:t>
      </w:r>
    </w:p>
    <w:p>
      <w:pPr>
        <w:jc w:val="center"/>
        <w:rPr>
          <w:b/>
          <w:sz w:val="28"/>
          <w:szCs w:val="28"/>
        </w:rPr>
      </w:pPr>
      <w:r>
        <w:rPr>
          <w:b/>
          <w:sz w:val="28"/>
          <w:szCs w:val="28"/>
        </w:rPr>
        <w:t xml:space="preserve">о проведении единого государственного экзамена </w:t>
      </w:r>
    </w:p>
    <w:p>
      <w:pPr>
        <w:jc w:val="center"/>
        <w:rPr>
          <w:b/>
          <w:sz w:val="28"/>
          <w:szCs w:val="28"/>
        </w:rPr>
      </w:pPr>
      <w:r>
        <w:rPr>
          <w:b/>
          <w:sz w:val="28"/>
          <w:szCs w:val="28"/>
        </w:rPr>
        <w:t>по химии в 2023 году</w:t>
      </w:r>
    </w:p>
    <w:p>
      <w:pPr>
        <w:jc w:val="center"/>
        <w:rPr>
          <w:b/>
          <w:sz w:val="28"/>
          <w:szCs w:val="28"/>
        </w:rPr>
      </w:pPr>
    </w:p>
    <w:p>
      <w:pPr>
        <w:tabs>
          <w:tab w:val="left" w:pos="5220"/>
        </w:tabs>
        <w:ind w:left="5220"/>
        <w:jc w:val="right"/>
        <w:rPr>
          <w:b/>
        </w:rPr>
      </w:pPr>
      <w:r>
        <w:rPr>
          <w:b/>
        </w:rPr>
        <w:t>Кунак В. В., руководитель городского методического объединения учителей химии</w:t>
      </w:r>
    </w:p>
    <w:p>
      <w:pPr>
        <w:tabs>
          <w:tab w:val="left" w:pos="5220"/>
        </w:tabs>
        <w:ind w:left="5220"/>
        <w:jc w:val="center"/>
        <w:rPr>
          <w:rFonts w:hint="default"/>
          <w:b/>
          <w:lang w:val="ru-RU"/>
        </w:rPr>
      </w:pPr>
      <w:r>
        <w:rPr>
          <w:b/>
          <w:lang w:val="ru-RU"/>
        </w:rPr>
        <w:t>Агайкина</w:t>
      </w:r>
      <w:r>
        <w:rPr>
          <w:rFonts w:hint="default"/>
          <w:b/>
          <w:lang w:val="ru-RU"/>
        </w:rPr>
        <w:t xml:space="preserve"> Л.А., учитель ЧОУ «Рекорд»</w:t>
      </w:r>
    </w:p>
    <w:p>
      <w:pPr>
        <w:tabs>
          <w:tab w:val="left" w:pos="5220"/>
        </w:tabs>
        <w:ind w:left="5220"/>
        <w:jc w:val="right"/>
        <w:rPr>
          <w:b/>
        </w:rPr>
      </w:pPr>
    </w:p>
    <w:p>
      <w:pPr>
        <w:pStyle w:val="4"/>
        <w:widowControl w:val="0"/>
        <w:numPr>
          <w:ilvl w:val="0"/>
          <w:numId w:val="1"/>
        </w:numPr>
        <w:spacing w:line="240" w:lineRule="auto"/>
        <w:jc w:val="left"/>
        <w:rPr>
          <w:rFonts w:eastAsia="Times New Roman"/>
          <w:b/>
          <w:color w:val="auto"/>
          <w:kern w:val="0"/>
        </w:rPr>
      </w:pPr>
      <w:r>
        <w:rPr>
          <w:rFonts w:eastAsia="Times New Roman"/>
          <w:b/>
          <w:color w:val="auto"/>
          <w:kern w:val="0"/>
        </w:rPr>
        <w:t>Краткая характеристика КИМ по предмету</w:t>
      </w:r>
    </w:p>
    <w:p>
      <w:pPr>
        <w:pStyle w:val="4"/>
        <w:widowControl w:val="0"/>
        <w:spacing w:line="240" w:lineRule="auto"/>
        <w:jc w:val="left"/>
        <w:rPr>
          <w:rFonts w:eastAsia="Times New Roman"/>
          <w:b/>
          <w:color w:val="auto"/>
          <w:kern w:val="0"/>
        </w:rPr>
      </w:pPr>
    </w:p>
    <w:p>
      <w:pPr>
        <w:ind w:right="-1" w:firstLine="567"/>
        <w:jc w:val="both"/>
      </w:pPr>
      <w:r>
        <w:t>Содержание КИМ ЕГЭ определяется на основе федерального государственного образовательного стандарта среднего общего образования (ФГОС)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с учётом примерной основной образовательной программы среднего общего образования (одобрена решением федерального учебно -методического объединения по общему образованию (протокол от 28.06.2016 № 2/16з)).</w:t>
      </w:r>
    </w:p>
    <w:p>
      <w:pPr>
        <w:ind w:right="-1" w:firstLine="567"/>
        <w:jc w:val="both"/>
      </w:pPr>
      <w:r>
        <w:t xml:space="preserve"> Отбор содержания заданий КИМ для проведения ЕГЭ по химии в 2023 г. в целом осуществляют с сохранением установок, на основе которых формировались экзаменационные модели прошлых лет.</w:t>
      </w:r>
    </w:p>
    <w:p>
      <w:pPr>
        <w:ind w:right="-1" w:firstLine="567"/>
        <w:jc w:val="both"/>
      </w:pPr>
      <w:r>
        <w:t xml:space="preserve"> Вариант экзаменационной работы построен по единому плану: работа состоит из двух частей, включающих в себя 34 заданий. </w:t>
      </w:r>
    </w:p>
    <w:p>
      <w:pPr>
        <w:ind w:right="-1" w:firstLine="567"/>
        <w:jc w:val="both"/>
      </w:pPr>
      <w:r>
        <w:t xml:space="preserve">Часть 1 содержит 28 заданий с кратким ответом, в их числе 17 заданий базового уровня сложности (в варианте они присутствуют под номерами: 1–5, 10, 11, 13, 17–21, 25-28) и 11 заданий повышенного уровня сложности (их порядковые номера: 6–9, 12, 14–16, 22–24). Часть 2 содержит 6 заданий высокого уровня сложности, с развёрнутым ответом. Это задания под номерами 29–34. </w:t>
      </w:r>
    </w:p>
    <w:p>
      <w:pPr>
        <w:ind w:right="-1" w:firstLine="567"/>
        <w:jc w:val="both"/>
      </w:pPr>
      <w:r>
        <w:t xml:space="preserve">Шкала оценивания заданий части 1: по 1 баллу – задания №1–5, 9–13, 16–21, 25–28; в 2 балла оценивались задания № 6–8, 14, 15, 22–24 базового уровня сложности, которые проверяют усвоение знаний о химических свойствах и генетической связи неорганических и органических веществ; по 2 балла оценивались задания повышенного уровня. Шкала оценивания заданий части 2: по 2 балла - №29,30; 3 балла - №33; по 4 балла - №31,34; №32 – максимально 5 баллов. Первичный суммарный балл за выполнение работы в целом составил 56 баллов, что соответствует 100% выполнению работы. </w:t>
      </w:r>
    </w:p>
    <w:p>
      <w:pPr>
        <w:ind w:right="-1" w:firstLine="567"/>
        <w:jc w:val="both"/>
      </w:pPr>
      <w:r>
        <w:t xml:space="preserve">Задания части 1 базового уровня сложности с кратким ответом содержат проверяемые элементы содержания школьного курса химии: «Теоретические основы химии», «Неорганическая химия», «Органическая химия», «Методы познания в химии. Химия и жизнь». Задания части 1 повышенного уровня сложности с кратким ответом на установление соответствия позиций, представленных в двух множествах. Проверяемые элементы: названием органического соединения и классом/группой, к которому(-ой) оно принадлежит; фактором, влияющим на состояние химического равновесия, и направлением его смещения; исходными веществами и продуктами реакции между этими веществами; названием или формулой соли и продуктами, которые образуются на инертных электродах при электролизе её водного раствора. Часть вторая высокого уровня сложности содержала задания с </w:t>
      </w:r>
      <w:r>
        <w:rPr>
          <w:lang w:val="ru-RU"/>
        </w:rPr>
        <w:t>развёрнутым</w:t>
      </w:r>
      <w:r>
        <w:t xml:space="preserve"> ответом, предусматривающие комплексную проверку усвоения на углублённом уровне 3-5 элементов содержания из различных содержательных блоков, ответы на которые надо было представить с подробным решением в письменном виде. Выполнение этих заданий позволяет оценить сформированность интеллектуальных умений высокого уровня: установление причинно-следственных связей, взаимосвязь неорганических и органических веществ, решение комбинированных расчетных задач, логику с аргументацией при формулировке ответа. В целом структура экзаменационной работы 2020 года ориентирована на повышение объективности проверки сформированности важных общеучебных умений: применение знаний в системе, внимательное чтение текста, правильное выполнение задания в соответствии с условием, понимание математической зависимости между различными физическими величинами.</w:t>
      </w:r>
    </w:p>
    <w:p>
      <w:pPr>
        <w:ind w:firstLine="567"/>
        <w:jc w:val="both"/>
      </w:pPr>
      <w:r>
        <w:t xml:space="preserve">Общая продолжительность выполнения экзаменационной работы составляет 3,5 часа (210 минут). Примерное время, отводимое на выполнение отдельных заданий, составляет: </w:t>
      </w:r>
    </w:p>
    <w:p>
      <w:pPr>
        <w:ind w:firstLine="567"/>
        <w:jc w:val="both"/>
      </w:pPr>
      <w:r>
        <w:t xml:space="preserve">1) для каждого задания базового уровня сложности части 1 – 2–3 минуты; </w:t>
      </w:r>
    </w:p>
    <w:p>
      <w:pPr>
        <w:ind w:firstLine="567"/>
        <w:jc w:val="both"/>
      </w:pPr>
      <w:r>
        <w:t xml:space="preserve">2) для каждого задания повышенного уровня сложности части 1 – 5–7 минут; </w:t>
      </w:r>
    </w:p>
    <w:p>
      <w:pPr>
        <w:ind w:firstLine="567"/>
        <w:jc w:val="both"/>
      </w:pPr>
      <w:r>
        <w:t>3) для каждого задания высокого уровня сложности части 2 – 10–15 минут.</w:t>
      </w:r>
    </w:p>
    <w:p>
      <w:pPr>
        <w:ind w:left="360"/>
        <w:jc w:val="both"/>
        <w:rPr>
          <w:b/>
        </w:rPr>
      </w:pPr>
      <w:r>
        <w:t>2</w:t>
      </w:r>
      <w:r>
        <w:rPr>
          <w:b/>
        </w:rPr>
        <w:t>.Анализ результатов экзаменационных работ</w:t>
      </w:r>
    </w:p>
    <w:p>
      <w:pPr>
        <w:ind w:left="360"/>
        <w:jc w:val="both"/>
        <w:rPr>
          <w:b/>
        </w:rPr>
      </w:pPr>
    </w:p>
    <w:p>
      <w:pPr>
        <w:pBdr>
          <w:top w:val="single" w:color="auto" w:sz="4" w:space="1"/>
          <w:left w:val="single" w:color="auto" w:sz="4" w:space="4"/>
          <w:bottom w:val="single" w:color="auto" w:sz="4" w:space="1"/>
          <w:right w:val="single" w:color="auto" w:sz="4" w:space="4"/>
          <w:between w:val="single" w:color="auto" w:sz="4" w:space="1"/>
        </w:pBdr>
        <w:ind w:left="-142"/>
        <w:jc w:val="both"/>
      </w:pPr>
      <w:r>
        <w:t>Число учащихся, принявших участие в сдаче ЕГЭ по химии, составило в 2023г. 100 человек, из которых 88 преодолели минимальный порог, а 12 выпускников (12 %) не смогли набрать установленного количества баллов.</w:t>
      </w:r>
    </w:p>
    <w:p>
      <w:pPr>
        <w:jc w:val="both"/>
      </w:pPr>
      <w:r>
        <w:t xml:space="preserve"> По сравнению с прошлым годом количество участников сократилось с 134 до 100 человек. Количество не преодолевших порог не изменилось 12 человек, как и в прошлом году. Но процент не преодолевших порог увеличилось с 8,9% (2022 г) до 12% (2023 г). Что связано с уменьшением количества участников.  </w:t>
      </w:r>
    </w:p>
    <w:p>
      <w:pPr>
        <w:ind w:left="-284"/>
        <w:jc w:val="both"/>
      </w:pPr>
      <w:r>
        <w:rPr>
          <w14:ligatures w14:val="standardContextual"/>
        </w:rPr>
        <w:drawing>
          <wp:inline distT="0" distB="0" distL="0" distR="0">
            <wp:extent cx="7058025" cy="2105025"/>
            <wp:effectExtent l="0" t="0" r="9525" b="9525"/>
            <wp:docPr id="172026937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left="-284"/>
        <w:jc w:val="both"/>
      </w:pPr>
    </w:p>
    <w:p>
      <w:pPr>
        <w:rPr>
          <w:u w:val="single"/>
        </w:rPr>
      </w:pPr>
      <w:r>
        <w:rPr>
          <w:u w:val="single"/>
        </w:rPr>
        <w:t>2.1. Анализ статистических данных</w:t>
      </w:r>
    </w:p>
    <w:p>
      <w:pPr>
        <w:ind w:firstLine="426"/>
      </w:pPr>
    </w:p>
    <w:p>
      <w:pPr>
        <w:jc w:val="center"/>
      </w:pPr>
      <w:r>
        <w:t>Лучшие результаты экзамена (90-100 баллов)</w:t>
      </w:r>
    </w:p>
    <w:tbl>
      <w:tblPr>
        <w:tblStyle w:val="3"/>
        <w:tblW w:w="1034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704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jc w:val="center"/>
            </w:pPr>
            <w:r>
              <w:t>№</w:t>
            </w:r>
          </w:p>
        </w:tc>
        <w:tc>
          <w:tcPr>
            <w:tcW w:w="7040" w:type="dxa"/>
            <w:shd w:val="clear" w:color="auto" w:fill="auto"/>
            <w:vAlign w:val="center"/>
          </w:tcPr>
          <w:p>
            <w:pPr>
              <w:jc w:val="center"/>
            </w:pPr>
            <w:r>
              <w:t>Название образовательной организации</w:t>
            </w:r>
          </w:p>
        </w:tc>
        <w:tc>
          <w:tcPr>
            <w:tcW w:w="2297" w:type="dxa"/>
          </w:tcPr>
          <w:p>
            <w:pPr>
              <w:jc w:val="center"/>
            </w:pPr>
            <w:r>
              <w:t>Балл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05" w:type="dxa"/>
            <w:shd w:val="clear" w:color="auto" w:fill="auto"/>
            <w:vAlign w:val="center"/>
          </w:tcPr>
          <w:p>
            <w:pPr>
              <w:pStyle w:val="5"/>
              <w:numPr>
                <w:ilvl w:val="0"/>
                <w:numId w:val="2"/>
              </w:numPr>
              <w:jc w:val="center"/>
            </w:pPr>
          </w:p>
        </w:tc>
        <w:tc>
          <w:tcPr>
            <w:tcW w:w="7040" w:type="dxa"/>
            <w:shd w:val="clear" w:color="auto" w:fill="auto"/>
            <w:vAlign w:val="center"/>
          </w:tcPr>
          <w:p>
            <w:pPr>
              <w:rPr>
                <w:color w:val="000000"/>
                <w:sz w:val="22"/>
                <w:szCs w:val="22"/>
              </w:rPr>
            </w:pPr>
            <w:r>
              <w:rPr>
                <w:color w:val="000000"/>
                <w:sz w:val="22"/>
                <w:szCs w:val="22"/>
              </w:rPr>
              <w:t>МОАУ "СОШ № 8 г. Орска"</w:t>
            </w:r>
          </w:p>
        </w:tc>
        <w:tc>
          <w:tcPr>
            <w:tcW w:w="2297" w:type="dxa"/>
          </w:tcPr>
          <w:p>
            <w:pPr>
              <w:jc w:val="center"/>
            </w:pPr>
            <w:r>
              <w:t>97(3), 93 (1), 91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05" w:type="dxa"/>
            <w:shd w:val="clear" w:color="auto" w:fill="auto"/>
            <w:vAlign w:val="center"/>
          </w:tcPr>
          <w:p>
            <w:pPr>
              <w:pStyle w:val="5"/>
              <w:numPr>
                <w:ilvl w:val="0"/>
                <w:numId w:val="2"/>
              </w:numPr>
              <w:jc w:val="center"/>
            </w:pPr>
          </w:p>
        </w:tc>
        <w:tc>
          <w:tcPr>
            <w:tcW w:w="7040" w:type="dxa"/>
            <w:shd w:val="clear" w:color="auto" w:fill="auto"/>
          </w:tcPr>
          <w:p>
            <w:pPr>
              <w:rPr>
                <w:color w:val="000000"/>
                <w:sz w:val="22"/>
                <w:szCs w:val="22"/>
              </w:rPr>
            </w:pPr>
            <w:r>
              <w:t>МОАУ «СОШ №27 г.Орска»</w:t>
            </w:r>
          </w:p>
        </w:tc>
        <w:tc>
          <w:tcPr>
            <w:tcW w:w="2297" w:type="dxa"/>
          </w:tcPr>
          <w:p>
            <w:pPr>
              <w:jc w:val="center"/>
            </w:pPr>
            <w:r>
              <w:t>97(2), 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05" w:type="dxa"/>
            <w:shd w:val="clear" w:color="auto" w:fill="auto"/>
            <w:vAlign w:val="center"/>
          </w:tcPr>
          <w:p>
            <w:pPr>
              <w:pStyle w:val="5"/>
              <w:numPr>
                <w:ilvl w:val="0"/>
                <w:numId w:val="2"/>
              </w:numPr>
              <w:jc w:val="center"/>
            </w:pPr>
          </w:p>
        </w:tc>
        <w:tc>
          <w:tcPr>
            <w:tcW w:w="7040" w:type="dxa"/>
            <w:shd w:val="clear" w:color="auto" w:fill="auto"/>
          </w:tcPr>
          <w:p>
            <w:pPr>
              <w:rPr>
                <w:color w:val="000000"/>
                <w:sz w:val="22"/>
                <w:szCs w:val="22"/>
              </w:rPr>
            </w:pPr>
            <w:r>
              <w:rPr>
                <w:color w:val="000000"/>
                <w:sz w:val="22"/>
                <w:szCs w:val="22"/>
              </w:rPr>
              <w:t>МОАУ "СОШ № 1 г.Орска"</w:t>
            </w:r>
          </w:p>
        </w:tc>
        <w:tc>
          <w:tcPr>
            <w:tcW w:w="2297" w:type="dxa"/>
          </w:tcPr>
          <w:p>
            <w:pPr>
              <w:jc w:val="center"/>
            </w:pPr>
            <w: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05" w:type="dxa"/>
            <w:shd w:val="clear" w:color="auto" w:fill="auto"/>
            <w:vAlign w:val="center"/>
          </w:tcPr>
          <w:p>
            <w:pPr>
              <w:pStyle w:val="5"/>
              <w:numPr>
                <w:ilvl w:val="0"/>
                <w:numId w:val="2"/>
              </w:numPr>
              <w:jc w:val="center"/>
            </w:pPr>
          </w:p>
        </w:tc>
        <w:tc>
          <w:tcPr>
            <w:tcW w:w="7040" w:type="dxa"/>
            <w:shd w:val="clear" w:color="auto" w:fill="auto"/>
          </w:tcPr>
          <w:p>
            <w:r>
              <w:rPr>
                <w:color w:val="000000"/>
                <w:sz w:val="22"/>
                <w:szCs w:val="22"/>
              </w:rPr>
              <w:t>МОАУ "Гимназия № 2 г. Орска"</w:t>
            </w:r>
          </w:p>
        </w:tc>
        <w:tc>
          <w:tcPr>
            <w:tcW w:w="2297" w:type="dxa"/>
          </w:tcPr>
          <w:p>
            <w:pPr>
              <w:jc w:val="center"/>
            </w:pPr>
            <w:r>
              <w:t>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05" w:type="dxa"/>
            <w:shd w:val="clear" w:color="auto" w:fill="auto"/>
            <w:vAlign w:val="center"/>
          </w:tcPr>
          <w:p>
            <w:pPr>
              <w:pStyle w:val="5"/>
              <w:numPr>
                <w:ilvl w:val="0"/>
                <w:numId w:val="2"/>
              </w:numPr>
              <w:jc w:val="center"/>
            </w:pPr>
          </w:p>
        </w:tc>
        <w:tc>
          <w:tcPr>
            <w:tcW w:w="7040" w:type="dxa"/>
            <w:shd w:val="clear" w:color="auto" w:fill="auto"/>
          </w:tcPr>
          <w:p>
            <w:pPr>
              <w:rPr>
                <w:color w:val="000000"/>
                <w:sz w:val="22"/>
                <w:szCs w:val="22"/>
              </w:rPr>
            </w:pPr>
            <w:r>
              <w:rPr>
                <w:color w:val="000000"/>
                <w:sz w:val="22"/>
                <w:szCs w:val="22"/>
              </w:rPr>
              <w:t>МОАУ "СОШ № 13 г. Орска"</w:t>
            </w:r>
          </w:p>
        </w:tc>
        <w:tc>
          <w:tcPr>
            <w:tcW w:w="2297" w:type="dxa"/>
          </w:tcPr>
          <w:p>
            <w:pPr>
              <w:jc w:val="center"/>
            </w:pPr>
            <w:r>
              <w:t>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005" w:type="dxa"/>
            <w:shd w:val="clear" w:color="auto" w:fill="auto"/>
            <w:vAlign w:val="center"/>
          </w:tcPr>
          <w:p>
            <w:pPr>
              <w:pStyle w:val="5"/>
              <w:numPr>
                <w:ilvl w:val="0"/>
                <w:numId w:val="2"/>
              </w:numPr>
              <w:jc w:val="center"/>
            </w:pPr>
          </w:p>
        </w:tc>
        <w:tc>
          <w:tcPr>
            <w:tcW w:w="7040" w:type="dxa"/>
            <w:shd w:val="clear" w:color="auto" w:fill="auto"/>
          </w:tcPr>
          <w:p>
            <w:pPr>
              <w:rPr>
                <w:color w:val="000000"/>
                <w:sz w:val="22"/>
                <w:szCs w:val="22"/>
              </w:rPr>
            </w:pPr>
            <w:r>
              <w:rPr>
                <w:color w:val="000000"/>
                <w:sz w:val="22"/>
                <w:szCs w:val="22"/>
              </w:rPr>
              <w:t>ЧОУ "Православная гимназия"</w:t>
            </w:r>
          </w:p>
        </w:tc>
        <w:tc>
          <w:tcPr>
            <w:tcW w:w="2297" w:type="dxa"/>
          </w:tcPr>
          <w:p>
            <w:pPr>
              <w:jc w:val="center"/>
            </w:pPr>
            <w: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pStyle w:val="5"/>
              <w:numPr>
                <w:ilvl w:val="0"/>
                <w:numId w:val="2"/>
              </w:numPr>
              <w:jc w:val="center"/>
            </w:pPr>
          </w:p>
        </w:tc>
        <w:tc>
          <w:tcPr>
            <w:tcW w:w="7040" w:type="dxa"/>
            <w:shd w:val="clear" w:color="auto" w:fill="auto"/>
          </w:tcPr>
          <w:p>
            <w:r>
              <w:t>МОАУ «СОШ №25 г.Орска»</w:t>
            </w:r>
          </w:p>
        </w:tc>
        <w:tc>
          <w:tcPr>
            <w:tcW w:w="2297" w:type="dxa"/>
          </w:tcPr>
          <w:p>
            <w:pPr>
              <w:jc w:val="center"/>
            </w:pPr>
            <w:r>
              <w:t>91(1), 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pStyle w:val="5"/>
              <w:numPr>
                <w:ilvl w:val="0"/>
                <w:numId w:val="2"/>
              </w:numPr>
              <w:jc w:val="center"/>
            </w:pPr>
          </w:p>
        </w:tc>
        <w:tc>
          <w:tcPr>
            <w:tcW w:w="7040" w:type="dxa"/>
            <w:shd w:val="clear" w:color="auto" w:fill="auto"/>
          </w:tcPr>
          <w:p>
            <w:r>
              <w:rPr>
                <w:color w:val="000000"/>
                <w:sz w:val="22"/>
                <w:szCs w:val="22"/>
              </w:rPr>
              <w:t>МОАУ "Гимназия № 1 г. Орска"</w:t>
            </w:r>
          </w:p>
        </w:tc>
        <w:tc>
          <w:tcPr>
            <w:tcW w:w="2297" w:type="dxa"/>
          </w:tcPr>
          <w:p>
            <w:pPr>
              <w:jc w:val="center"/>
            </w:pPr>
            <w: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pStyle w:val="5"/>
              <w:numPr>
                <w:ilvl w:val="0"/>
                <w:numId w:val="2"/>
              </w:numPr>
              <w:jc w:val="center"/>
            </w:pPr>
          </w:p>
        </w:tc>
        <w:tc>
          <w:tcPr>
            <w:tcW w:w="7040" w:type="dxa"/>
            <w:shd w:val="clear" w:color="auto" w:fill="auto"/>
          </w:tcPr>
          <w:p>
            <w:r>
              <w:rPr>
                <w:color w:val="000000"/>
                <w:sz w:val="22"/>
                <w:szCs w:val="22"/>
              </w:rPr>
              <w:t>МОАУ "СОШ № 50 г. Орска"</w:t>
            </w:r>
          </w:p>
        </w:tc>
        <w:tc>
          <w:tcPr>
            <w:tcW w:w="2297" w:type="dxa"/>
          </w:tcPr>
          <w:p>
            <w:pPr>
              <w:jc w:val="center"/>
            </w:pPr>
            <w: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pStyle w:val="5"/>
              <w:numPr>
                <w:ilvl w:val="0"/>
                <w:numId w:val="2"/>
              </w:numPr>
              <w:jc w:val="center"/>
            </w:pPr>
          </w:p>
        </w:tc>
        <w:tc>
          <w:tcPr>
            <w:tcW w:w="7040" w:type="dxa"/>
            <w:shd w:val="clear" w:color="auto" w:fill="auto"/>
          </w:tcPr>
          <w:p>
            <w:pPr>
              <w:rPr>
                <w:color w:val="000000"/>
                <w:sz w:val="22"/>
                <w:szCs w:val="22"/>
              </w:rPr>
            </w:pPr>
            <w:r>
              <w:rPr>
                <w:color w:val="000000"/>
                <w:sz w:val="22"/>
                <w:szCs w:val="22"/>
              </w:rPr>
              <w:t>МОАУ "СОШ № 52 г. Орска"</w:t>
            </w:r>
          </w:p>
        </w:tc>
        <w:tc>
          <w:tcPr>
            <w:tcW w:w="2297" w:type="dxa"/>
          </w:tcPr>
          <w:p>
            <w:pPr>
              <w:jc w:val="center"/>
            </w:pPr>
            <w: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005" w:type="dxa"/>
            <w:shd w:val="clear" w:color="auto" w:fill="auto"/>
            <w:vAlign w:val="center"/>
          </w:tcPr>
          <w:p>
            <w:pPr>
              <w:jc w:val="center"/>
            </w:pPr>
          </w:p>
        </w:tc>
        <w:tc>
          <w:tcPr>
            <w:tcW w:w="7040" w:type="dxa"/>
            <w:shd w:val="clear" w:color="auto" w:fill="auto"/>
          </w:tcPr>
          <w:p>
            <w:pPr>
              <w:jc w:val="center"/>
            </w:pPr>
            <w:r>
              <w:t>Итого:</w:t>
            </w:r>
          </w:p>
        </w:tc>
        <w:tc>
          <w:tcPr>
            <w:tcW w:w="2297" w:type="dxa"/>
          </w:tcPr>
          <w:p>
            <w:pPr>
              <w:jc w:val="center"/>
            </w:pPr>
            <w:r>
              <w:t>18</w:t>
            </w:r>
          </w:p>
        </w:tc>
      </w:tr>
    </w:tbl>
    <w:p/>
    <w:p>
      <w:pPr>
        <w:jc w:val="center"/>
      </w:pPr>
      <w:r>
        <w:t>Худшие результаты экзамена (менее 36 б.)</w:t>
      </w:r>
    </w:p>
    <w:tbl>
      <w:tblPr>
        <w:tblStyle w:val="3"/>
        <w:tblW w:w="10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5329"/>
        <w:gridCol w:w="2621"/>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vAlign w:val="center"/>
          </w:tcPr>
          <w:p>
            <w:pPr>
              <w:ind w:left="-120"/>
              <w:jc w:val="center"/>
              <w:rPr>
                <w:b/>
                <w:bCs/>
              </w:rPr>
            </w:pPr>
            <w:r>
              <w:rPr>
                <w:b/>
                <w:bCs/>
              </w:rPr>
              <w:t>№</w:t>
            </w:r>
          </w:p>
        </w:tc>
        <w:tc>
          <w:tcPr>
            <w:tcW w:w="5329" w:type="dxa"/>
            <w:shd w:val="clear" w:color="auto" w:fill="auto"/>
            <w:vAlign w:val="center"/>
          </w:tcPr>
          <w:p>
            <w:pPr>
              <w:jc w:val="center"/>
            </w:pPr>
            <w:r>
              <w:t>Название образовательной организации</w:t>
            </w:r>
          </w:p>
        </w:tc>
        <w:tc>
          <w:tcPr>
            <w:tcW w:w="2621" w:type="dxa"/>
            <w:shd w:val="clear" w:color="auto" w:fill="auto"/>
            <w:vAlign w:val="center"/>
          </w:tcPr>
          <w:p>
            <w:pPr>
              <w:jc w:val="center"/>
            </w:pPr>
            <w:r>
              <w:t>Кол-во обучающихся</w:t>
            </w:r>
          </w:p>
        </w:tc>
        <w:tc>
          <w:tcPr>
            <w:tcW w:w="1663" w:type="dxa"/>
            <w:vAlign w:val="center"/>
          </w:tcPr>
          <w:p>
            <w:pPr>
              <w:jc w:val="center"/>
            </w:pPr>
            <w:r>
              <w:t>Балл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17 г. Орска"</w:t>
            </w:r>
          </w:p>
        </w:tc>
        <w:tc>
          <w:tcPr>
            <w:tcW w:w="2621" w:type="dxa"/>
            <w:shd w:val="clear" w:color="auto" w:fill="auto"/>
          </w:tcPr>
          <w:p>
            <w:pPr>
              <w:jc w:val="center"/>
            </w:pPr>
            <w:r>
              <w:t>2</w:t>
            </w:r>
          </w:p>
        </w:tc>
        <w:tc>
          <w:tcPr>
            <w:tcW w:w="1663" w:type="dxa"/>
          </w:tcPr>
          <w:p>
            <w:pPr>
              <w:jc w:val="center"/>
            </w:pPr>
            <w:r>
              <w:t>0(1),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27 г. Орска"</w:t>
            </w:r>
          </w:p>
        </w:tc>
        <w:tc>
          <w:tcPr>
            <w:tcW w:w="2621" w:type="dxa"/>
            <w:shd w:val="clear" w:color="auto" w:fill="auto"/>
          </w:tcPr>
          <w:p>
            <w:pPr>
              <w:jc w:val="center"/>
            </w:pPr>
            <w:r>
              <w:t>2</w:t>
            </w:r>
          </w:p>
        </w:tc>
        <w:tc>
          <w:tcPr>
            <w:tcW w:w="1663" w:type="dxa"/>
          </w:tcPr>
          <w:p>
            <w:pPr>
              <w:jc w:val="center"/>
            </w:pPr>
            <w:r>
              <w:t>4 (1),27(1)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88 г. Орска"</w:t>
            </w:r>
          </w:p>
        </w:tc>
        <w:tc>
          <w:tcPr>
            <w:tcW w:w="2621" w:type="dxa"/>
            <w:shd w:val="clear" w:color="auto" w:fill="auto"/>
          </w:tcPr>
          <w:p>
            <w:pPr>
              <w:jc w:val="center"/>
            </w:pPr>
            <w:r>
              <w:t>2</w:t>
            </w:r>
          </w:p>
        </w:tc>
        <w:tc>
          <w:tcPr>
            <w:tcW w:w="1663" w:type="dxa"/>
          </w:tcPr>
          <w:p>
            <w:pPr>
              <w:jc w:val="center"/>
            </w:pPr>
            <w:r>
              <w:t>7(1), 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54 г. Орска"</w:t>
            </w:r>
          </w:p>
        </w:tc>
        <w:tc>
          <w:tcPr>
            <w:tcW w:w="2621" w:type="dxa"/>
            <w:shd w:val="clear" w:color="auto" w:fill="auto"/>
          </w:tcPr>
          <w:p>
            <w:pPr>
              <w:jc w:val="center"/>
            </w:pPr>
            <w:r>
              <w:t>1</w:t>
            </w:r>
          </w:p>
        </w:tc>
        <w:tc>
          <w:tcPr>
            <w:tcW w:w="1663" w:type="dxa"/>
          </w:tcPr>
          <w:p>
            <w:pPr>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5 г. Орска"</w:t>
            </w:r>
          </w:p>
        </w:tc>
        <w:tc>
          <w:tcPr>
            <w:tcW w:w="2621" w:type="dxa"/>
            <w:shd w:val="clear" w:color="auto" w:fill="auto"/>
          </w:tcPr>
          <w:p>
            <w:pPr>
              <w:jc w:val="center"/>
            </w:pPr>
            <w:r>
              <w:t>1</w:t>
            </w:r>
          </w:p>
        </w:tc>
        <w:tc>
          <w:tcPr>
            <w:tcW w:w="1663" w:type="dxa"/>
          </w:tcPr>
          <w:p>
            <w:pPr>
              <w:jc w:val="center"/>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23 г. Орска"</w:t>
            </w:r>
          </w:p>
        </w:tc>
        <w:tc>
          <w:tcPr>
            <w:tcW w:w="2621" w:type="dxa"/>
            <w:shd w:val="clear" w:color="auto" w:fill="auto"/>
          </w:tcPr>
          <w:p>
            <w:pPr>
              <w:jc w:val="center"/>
            </w:pPr>
            <w:r>
              <w:t>1</w:t>
            </w:r>
          </w:p>
        </w:tc>
        <w:tc>
          <w:tcPr>
            <w:tcW w:w="1663" w:type="dxa"/>
          </w:tcPr>
          <w:p>
            <w:pPr>
              <w:jc w:val="cente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 СОШ № 52 г. Орска "</w:t>
            </w:r>
          </w:p>
        </w:tc>
        <w:tc>
          <w:tcPr>
            <w:tcW w:w="2621" w:type="dxa"/>
            <w:shd w:val="clear" w:color="auto" w:fill="auto"/>
          </w:tcPr>
          <w:p>
            <w:pPr>
              <w:jc w:val="center"/>
            </w:pPr>
            <w:r>
              <w:t>1</w:t>
            </w:r>
          </w:p>
        </w:tc>
        <w:tc>
          <w:tcPr>
            <w:tcW w:w="1663" w:type="dxa"/>
          </w:tcPr>
          <w:p>
            <w:pPr>
              <w:jc w:val="center"/>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 СОШ № 35 г. Орска "</w:t>
            </w:r>
          </w:p>
        </w:tc>
        <w:tc>
          <w:tcPr>
            <w:tcW w:w="2621" w:type="dxa"/>
            <w:shd w:val="clear" w:color="auto" w:fill="auto"/>
          </w:tcPr>
          <w:p>
            <w:pPr>
              <w:jc w:val="center"/>
            </w:pPr>
            <w:r>
              <w:t>1</w:t>
            </w:r>
          </w:p>
        </w:tc>
        <w:tc>
          <w:tcPr>
            <w:tcW w:w="1663" w:type="dxa"/>
          </w:tcPr>
          <w:p>
            <w:pPr>
              <w:jc w:val="center"/>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18" w:type="dxa"/>
            <w:shd w:val="clear" w:color="auto" w:fill="auto"/>
          </w:tcPr>
          <w:p>
            <w:pPr>
              <w:pStyle w:val="5"/>
              <w:numPr>
                <w:ilvl w:val="0"/>
                <w:numId w:val="3"/>
              </w:numPr>
              <w:jc w:val="center"/>
              <w:rPr>
                <w:b/>
                <w:bCs/>
              </w:rPr>
            </w:pPr>
          </w:p>
        </w:tc>
        <w:tc>
          <w:tcPr>
            <w:tcW w:w="5329" w:type="dxa"/>
            <w:shd w:val="clear" w:color="auto" w:fill="auto"/>
          </w:tcPr>
          <w:p>
            <w:pPr>
              <w:rPr>
                <w:color w:val="000000"/>
                <w:sz w:val="22"/>
                <w:szCs w:val="22"/>
              </w:rPr>
            </w:pPr>
            <w:r>
              <w:rPr>
                <w:color w:val="000000"/>
                <w:sz w:val="22"/>
                <w:szCs w:val="22"/>
              </w:rPr>
              <w:t>МОАУ "СОШ № 13 г. Орска"</w:t>
            </w:r>
          </w:p>
        </w:tc>
        <w:tc>
          <w:tcPr>
            <w:tcW w:w="2621" w:type="dxa"/>
            <w:shd w:val="clear" w:color="auto" w:fill="auto"/>
          </w:tcPr>
          <w:p>
            <w:pPr>
              <w:jc w:val="center"/>
            </w:pPr>
            <w:r>
              <w:t>1</w:t>
            </w:r>
          </w:p>
        </w:tc>
        <w:tc>
          <w:tcPr>
            <w:tcW w:w="1663" w:type="dxa"/>
          </w:tcPr>
          <w:p>
            <w:pPr>
              <w:jc w:val="center"/>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6247" w:type="dxa"/>
            <w:gridSpan w:val="2"/>
            <w:shd w:val="clear" w:color="auto" w:fill="auto"/>
          </w:tcPr>
          <w:p>
            <w:pPr>
              <w:jc w:val="center"/>
            </w:pPr>
            <w:r>
              <w:t>Итого:</w:t>
            </w:r>
          </w:p>
        </w:tc>
        <w:tc>
          <w:tcPr>
            <w:tcW w:w="2621" w:type="dxa"/>
            <w:shd w:val="clear" w:color="auto" w:fill="auto"/>
          </w:tcPr>
          <w:p>
            <w:pPr>
              <w:jc w:val="center"/>
            </w:pPr>
            <w:r>
              <w:t>12</w:t>
            </w:r>
          </w:p>
        </w:tc>
        <w:tc>
          <w:tcPr>
            <w:tcW w:w="1663" w:type="dxa"/>
          </w:tcPr>
          <w:p>
            <w:pPr>
              <w:jc w:val="center"/>
            </w:pPr>
          </w:p>
        </w:tc>
      </w:tr>
    </w:tbl>
    <w:p>
      <w:pPr>
        <w:ind w:left="-284"/>
        <w:jc w:val="both"/>
      </w:pPr>
    </w:p>
    <w:p>
      <w:pPr>
        <w:ind w:left="-284"/>
        <w:jc w:val="both"/>
      </w:pPr>
    </w:p>
    <w:p>
      <w:pPr>
        <w:ind w:left="-284"/>
        <w:jc w:val="both"/>
      </w:pPr>
    </w:p>
    <w:p>
      <w:pPr>
        <w:ind w:left="-284"/>
        <w:jc w:val="both"/>
      </w:pPr>
      <w:r>
        <w:rPr>
          <w14:ligatures w14:val="standardContextual"/>
        </w:rPr>
        <w:drawing>
          <wp:inline distT="0" distB="0" distL="0" distR="0">
            <wp:extent cx="7019925" cy="3448050"/>
            <wp:effectExtent l="0" t="0" r="9525" b="0"/>
            <wp:docPr id="125105117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ind w:left="-284"/>
        <w:jc w:val="both"/>
      </w:pPr>
    </w:p>
    <w:p>
      <w:pPr>
        <w:ind w:left="180" w:hanging="180"/>
        <w:jc w:val="both"/>
        <w:rPr>
          <w:u w:val="single"/>
        </w:rPr>
      </w:pPr>
      <w:r>
        <w:rPr>
          <w:u w:val="single"/>
        </w:rPr>
        <w:t>2.2. Анализ результатов по критериям проверки</w:t>
      </w:r>
    </w:p>
    <w:p>
      <w:pPr>
        <w:ind w:firstLine="540"/>
        <w:jc w:val="center"/>
      </w:pPr>
      <w:r>
        <w:t xml:space="preserve">Результаты выполнения заданий </w:t>
      </w:r>
      <w:r>
        <w:rPr>
          <w:lang w:val="en-US"/>
        </w:rPr>
        <w:t>I</w:t>
      </w:r>
      <w:r>
        <w:t xml:space="preserve"> и </w:t>
      </w:r>
      <w:r>
        <w:rPr>
          <w:lang w:val="en-US"/>
        </w:rPr>
        <w:t>II</w:t>
      </w:r>
      <w:r>
        <w:t xml:space="preserve"> части</w:t>
      </w:r>
    </w:p>
    <w:p>
      <w:pPr>
        <w:ind w:firstLine="540"/>
        <w:jc w:val="both"/>
      </w:pPr>
      <w:r>
        <w:t>Выполнение проверяемых элементов содержания КИМ ЕГЭ-2022 по химии по всем вариантам.</w:t>
      </w:r>
    </w:p>
    <w:p>
      <w:pPr>
        <w:jc w:val="both"/>
      </w:pP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3454"/>
        <w:gridCol w:w="1622"/>
        <w:gridCol w:w="821"/>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0" w:type="auto"/>
            <w:vMerge w:val="restart"/>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 Зад</w:t>
            </w:r>
          </w:p>
        </w:tc>
        <w:tc>
          <w:tcPr>
            <w:tcW w:w="0" w:type="auto"/>
            <w:vMerge w:val="restart"/>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Проверяемые элементы</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содержания / умения</w:t>
            </w:r>
          </w:p>
        </w:tc>
        <w:tc>
          <w:tcPr>
            <w:tcW w:w="0" w:type="auto"/>
            <w:vMerge w:val="restart"/>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Уровень</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слож-</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ности</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задания</w:t>
            </w:r>
          </w:p>
        </w:tc>
        <w:tc>
          <w:tcPr>
            <w:tcW w:w="0" w:type="auto"/>
            <w:gridSpan w:val="6"/>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rFonts w:ascii="yandex-sans" w:hAnsi="yandex-sans"/>
                <w:color w:val="000000"/>
                <w:sz w:val="23"/>
                <w:szCs w:val="23"/>
                <w:shd w:val="clear" w:color="auto" w:fill="FFFFFF"/>
                <w:lang w:eastAsia="en-US"/>
              </w:rPr>
              <w:t>Процент выполнения задания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line="256" w:lineRule="auto"/>
              <w:rPr>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line="256" w:lineRule="auto"/>
              <w:rPr>
                <w:rFonts w:ascii="yandex-sans" w:hAnsi="yandex-sans"/>
                <w:color w:val="000000"/>
                <w:sz w:val="23"/>
                <w:szCs w:val="23"/>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line="256" w:lineRule="auto"/>
              <w:rPr>
                <w:rFonts w:ascii="yandex-sans" w:hAnsi="yandex-sans"/>
                <w:color w:val="000000"/>
                <w:sz w:val="23"/>
                <w:szCs w:val="23"/>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val="en-US" w:eastAsia="en-US"/>
              </w:rPr>
            </w:pPr>
          </w:p>
          <w:p>
            <w:pPr>
              <w:spacing w:line="256" w:lineRule="auto"/>
              <w:jc w:val="both"/>
              <w:rPr>
                <w:lang w:eastAsia="en-US"/>
              </w:rPr>
            </w:pPr>
            <w:r>
              <w:rPr>
                <w:lang w:eastAsia="en-US"/>
              </w:rPr>
              <w:t>0</w:t>
            </w:r>
            <w:r>
              <w:rPr>
                <w:lang w:val="en-US" w:eastAsia="en-US"/>
              </w:rPr>
              <w:t xml:space="preserve"> </w:t>
            </w:r>
            <w:r>
              <w:rPr>
                <w:lang w:eastAsia="en-US"/>
              </w:rPr>
              <w:t>б</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p>
          <w:p>
            <w:pPr>
              <w:spacing w:line="256" w:lineRule="auto"/>
              <w:jc w:val="both"/>
              <w:rPr>
                <w:lang w:eastAsia="en-US"/>
              </w:rPr>
            </w:pPr>
            <w:r>
              <w:rPr>
                <w:lang w:eastAsia="en-US"/>
              </w:rPr>
              <w:t>1 б</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p>
          <w:p>
            <w:pPr>
              <w:spacing w:line="256" w:lineRule="auto"/>
              <w:jc w:val="both"/>
              <w:rPr>
                <w:lang w:eastAsia="en-US"/>
              </w:rPr>
            </w:pPr>
            <w:r>
              <w:rPr>
                <w:lang w:eastAsia="en-US"/>
              </w:rPr>
              <w:t>2 б</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p>
          <w:p>
            <w:pPr>
              <w:spacing w:line="256" w:lineRule="auto"/>
              <w:jc w:val="both"/>
              <w:rPr>
                <w:lang w:eastAsia="en-US"/>
              </w:rPr>
            </w:pPr>
            <w:r>
              <w:rPr>
                <w:lang w:eastAsia="en-US"/>
              </w:rPr>
              <w:t>3 б</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p>
          <w:p>
            <w:pPr>
              <w:spacing w:line="256" w:lineRule="auto"/>
              <w:jc w:val="both"/>
              <w:rPr>
                <w:lang w:eastAsia="en-US"/>
              </w:rPr>
            </w:pPr>
            <w:r>
              <w:rPr>
                <w:lang w:eastAsia="en-US"/>
              </w:rPr>
              <w:t>4 б</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p>
          <w:p>
            <w:pPr>
              <w:spacing w:line="256" w:lineRule="auto"/>
              <w:jc w:val="both"/>
              <w:rPr>
                <w:lang w:eastAsia="en-US"/>
              </w:rPr>
            </w:pPr>
            <w:r>
              <w:rPr>
                <w:lang w:eastAsia="en-US"/>
              </w:rPr>
              <w:t>5 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ind w:right="175"/>
              <w:jc w:val="both"/>
              <w:rPr>
                <w:lang w:eastAsia="en-US"/>
              </w:rPr>
            </w:pPr>
            <w:r>
              <w:rPr>
                <w:lang w:eastAsia="en-US"/>
              </w:rPr>
              <w:t>1</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Строение электронных оболочек атомов элементов первых четырёх периодов: s-, p- и d-элементы. Электронная конфигурация атома. Основное и возбуждённое состояния</w:t>
            </w:r>
          </w:p>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атомов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r>
              <w:rPr>
                <w:b/>
                <w:bCs/>
                <w:color w:val="000000"/>
                <w:sz w:val="22"/>
                <w:szCs w:val="22"/>
              </w:rPr>
              <w:t>36,0%</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r>
              <w:rPr>
                <w:b/>
                <w:bCs/>
                <w:color w:val="000000"/>
                <w:sz w:val="22"/>
                <w:szCs w:val="22"/>
              </w:rPr>
              <w:t>64,0%</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Закономерности изменения химических свойств элементов и их соединений по периодам и группам.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Общая характеристика металлов IА–IIIА групп в связи с их положением в Периодической системе химических элементов Д.И. Менделеева и особенностями строения их атомов.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Характеристика переходных элементов – меди, цинка, хрома, железа – по их положению в Периодической системе химических элементов Д.И. Менделеева и особенностям строения их атомов.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Общая характеристика неметаллов IVА–VIIА групп в связи с их положением в Периодической системе химических элементов Д.И. Менделеева и особенностями строения их атомов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rPr>
                <w:lang w:eastAsia="en-US"/>
              </w:rPr>
            </w:pPr>
          </w:p>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spacing w:line="256" w:lineRule="auto"/>
              <w:jc w:val="center"/>
              <w:rPr>
                <w:lang w:eastAsia="en-US"/>
              </w:rPr>
            </w:pPr>
          </w:p>
          <w:p>
            <w:pPr>
              <w:jc w:val="center"/>
              <w:rPr>
                <w:b/>
                <w:bCs/>
                <w:color w:val="000000"/>
                <w:sz w:val="22"/>
                <w:szCs w:val="22"/>
              </w:rPr>
            </w:pPr>
            <w:r>
              <w:rPr>
                <w:b/>
                <w:bCs/>
                <w:color w:val="000000"/>
                <w:sz w:val="22"/>
                <w:szCs w:val="22"/>
              </w:rPr>
              <w:t>84,0%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1"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Электроотрицательность. Степень окисления и валентность химических элементов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4</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346"/>
              <w:jc w:val="both"/>
            </w:pPr>
            <w:r>
              <w:t xml:space="preserve">Ковалентная химическая связь, её разновидности и механизмы образования. Характеристики ковалентной связи (полярность и энергия связи). </w:t>
            </w:r>
          </w:p>
          <w:p>
            <w:pPr>
              <w:shd w:val="clear" w:color="auto" w:fill="FFFFFF"/>
              <w:spacing w:line="256" w:lineRule="auto"/>
              <w:jc w:val="both"/>
            </w:pPr>
            <w:r>
              <w:t xml:space="preserve">Ионная связь. Металлическая связь. Водородная связь. </w:t>
            </w:r>
          </w:p>
          <w:p>
            <w:pPr>
              <w:shd w:val="clear" w:color="auto" w:fill="FFFFFF"/>
              <w:spacing w:line="256" w:lineRule="auto"/>
              <w:ind w:firstLine="204"/>
              <w:jc w:val="both"/>
              <w:rPr>
                <w:rFonts w:ascii="yandex-sans" w:hAnsi="yandex-sans"/>
                <w:color w:val="000000"/>
                <w:sz w:val="23"/>
                <w:szCs w:val="23"/>
                <w:lang w:eastAsia="en-US"/>
              </w:rPr>
            </w:pPr>
            <w:r>
              <w:t>Вещества молекулярного и немолекулярного строения. Тип кристаллической решётки. Зависимость свойств веществ от их состава и строения.</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5</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62"/>
              <w:jc w:val="both"/>
              <w:rPr>
                <w:rFonts w:ascii="yandex-sans" w:hAnsi="yandex-sans"/>
                <w:color w:val="000000"/>
                <w:sz w:val="23"/>
                <w:szCs w:val="23"/>
                <w:lang w:eastAsia="en-US"/>
              </w:rPr>
            </w:pPr>
            <w:r>
              <w:rPr>
                <w:rFonts w:ascii="yandex-sans" w:hAnsi="yandex-sans"/>
                <w:color w:val="000000"/>
                <w:sz w:val="23"/>
                <w:szCs w:val="23"/>
                <w:lang w:eastAsia="en-US"/>
              </w:rPr>
              <w:t>Классификация неорганических веществ. Номенклатура неорганических веществ (тривиальная и международная).</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6</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pPr>
            <w:r>
              <w:t xml:space="preserve">Характерные химические свойства простых веществ – металлов: щелочных, щёлочноземельных, магния, алюминия; переходных металлов: меди, цинка, хрома, железа. </w:t>
            </w:r>
          </w:p>
          <w:p>
            <w:pPr>
              <w:shd w:val="clear" w:color="auto" w:fill="FFFFFF"/>
              <w:spacing w:line="256" w:lineRule="auto"/>
              <w:ind w:firstLine="204"/>
              <w:jc w:val="both"/>
            </w:pPr>
            <w:r>
              <w:t>Характерные химические свойства простых веществ – неметаллов: водорода, галогенов, кислорода, серы, азота, фосфора, углерода, кремния.</w:t>
            </w:r>
          </w:p>
          <w:p>
            <w:pPr>
              <w:shd w:val="clear" w:color="auto" w:fill="FFFFFF"/>
              <w:spacing w:line="256" w:lineRule="auto"/>
              <w:ind w:firstLine="204"/>
              <w:jc w:val="both"/>
            </w:pPr>
            <w:r>
              <w:t xml:space="preserve"> Характерные химические свойства оксидов: оснóвных, амфотерных, кислотных </w:t>
            </w:r>
          </w:p>
          <w:p>
            <w:pPr>
              <w:shd w:val="clear" w:color="auto" w:fill="FFFFFF"/>
              <w:spacing w:line="256" w:lineRule="auto"/>
              <w:ind w:firstLine="204"/>
              <w:jc w:val="both"/>
            </w:pPr>
            <w:r>
              <w:t xml:space="preserve">Характерные химические свойства оснований и амфотерных гидроксидов. </w:t>
            </w:r>
          </w:p>
          <w:p>
            <w:pPr>
              <w:shd w:val="clear" w:color="auto" w:fill="FFFFFF"/>
              <w:spacing w:line="256" w:lineRule="auto"/>
              <w:ind w:firstLine="204"/>
              <w:jc w:val="both"/>
            </w:pPr>
            <w:r>
              <w:t xml:space="preserve">Характерные химические свойства кислот. </w:t>
            </w:r>
          </w:p>
          <w:p>
            <w:pPr>
              <w:shd w:val="clear" w:color="auto" w:fill="FFFFFF"/>
              <w:spacing w:line="256" w:lineRule="auto"/>
              <w:ind w:firstLine="204"/>
              <w:jc w:val="both"/>
            </w:pPr>
            <w:r>
              <w:t>Характерные химические свойства солей: средних, кислых, оснóвных; комплексных (на примере гидроксосоединений алюминия и цинка).</w:t>
            </w:r>
          </w:p>
          <w:p>
            <w:pPr>
              <w:shd w:val="clear" w:color="auto" w:fill="FFFFFF"/>
              <w:spacing w:line="256" w:lineRule="auto"/>
              <w:ind w:firstLine="204"/>
              <w:jc w:val="both"/>
              <w:rPr>
                <w:rFonts w:ascii="yandex-sans" w:hAnsi="yandex-sans"/>
                <w:color w:val="000000"/>
                <w:sz w:val="23"/>
                <w:szCs w:val="23"/>
                <w:lang w:eastAsia="en-US"/>
              </w:rPr>
            </w:pPr>
            <w:r>
              <w:t xml:space="preserve"> Электролитическая диссоциация электролитов в водных растворах. Сильные и слабые электролит</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 xml:space="preserve">Повышенный </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7</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Характерные химические свойства неорганических веществ: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простых веществ</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 металлов: щелочных, щелочноземельных, магния, алюминия, переходных металлов (меди, цинка, хрома, железа);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простых веществ</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–неметаллов: водорода, галогенов, кислорода, серы, азота, фосфора, углерода, кремния;</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 – оксидов: оснóвных, амфотерных, кислотных; – оснований и амфотерных гидроксидов;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кислот;</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 –солей: средних, кислых, оснóвных; комплексных (на примере гидроксосоединений алюминия и цинка)</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8</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Характерные химические свойства неорганических веществ: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простых веществ</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 металлов: щелочных, щелочноземельных, магния, алюминия, переходных металлов (меди, цинка, хрома, железа);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простых веществ</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–неметаллов: водорода, галогенов, кислорода, серы, азота, фосфора, углерода, кремния;</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 – оксидов: оснóвных, амфотерных, кислотных; – оснований и амфотерных гидроксидов;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кислот;</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 xml:space="preserve"> –солей: средних, кислых, оснóвных; комплексных (на примере гидроксосоединений алюминия и цинка)</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9</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Взаимосвязь неорганических</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веществ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10</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Классификация органических</w:t>
            </w:r>
          </w:p>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веществ. Номенклатура органических веществ (тривиальная и международная)</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90,0%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11</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Теория строения органических соединений: гомология и изомерия (структурная и пространственная). Взаимное влияние атомов в молекулах.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Типы связей в молекулах органических веществ. Гибридизация атомных орбиталей углерода. Радикал. Функциональная группа</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41,0%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12</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pPr>
            <w:r>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w:t>
            </w:r>
          </w:p>
          <w:p>
            <w:pPr>
              <w:shd w:val="clear" w:color="auto" w:fill="FFFFFF"/>
              <w:spacing w:line="256" w:lineRule="auto"/>
              <w:ind w:firstLine="204"/>
              <w:jc w:val="both"/>
            </w:pPr>
            <w:r>
              <w:t xml:space="preserve">Основные способы получения углеводородов (в лаборатории). </w:t>
            </w:r>
          </w:p>
          <w:p>
            <w:pPr>
              <w:shd w:val="clear" w:color="auto" w:fill="FFFFFF"/>
              <w:spacing w:line="256" w:lineRule="auto"/>
              <w:ind w:firstLine="204"/>
              <w:jc w:val="both"/>
            </w:pPr>
            <w:r>
              <w:t xml:space="preserve">Характерные химические свойства предельных одноатомных и многоатомных спиртов, фенола. </w:t>
            </w:r>
          </w:p>
          <w:p>
            <w:pPr>
              <w:shd w:val="clear" w:color="auto" w:fill="FFFFFF"/>
              <w:spacing w:line="256" w:lineRule="auto"/>
              <w:ind w:firstLine="204"/>
              <w:jc w:val="both"/>
            </w:pPr>
            <w:r>
              <w:t xml:space="preserve">Характерные химические свойства альдегидов, предельных карбоновых кислот, сложных эфиров. </w:t>
            </w:r>
          </w:p>
          <w:p>
            <w:pPr>
              <w:shd w:val="clear" w:color="auto" w:fill="FFFFFF"/>
              <w:spacing w:line="256" w:lineRule="auto"/>
              <w:ind w:firstLine="204"/>
              <w:jc w:val="both"/>
              <w:rPr>
                <w:rFonts w:ascii="yandex-sans" w:hAnsi="yandex-sans"/>
                <w:color w:val="000000"/>
                <w:sz w:val="23"/>
                <w:szCs w:val="23"/>
                <w:lang w:eastAsia="en-US"/>
              </w:rPr>
            </w:pPr>
            <w:r>
              <w:t>Основные способы получения кислородсодержащих органических соединений (в лаборатории)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51,0%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13</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pPr>
            <w:r>
              <w:t xml:space="preserve">Характерные химические свойства азотсодержащих органических соединений: аминов и аминокислот. </w:t>
            </w:r>
          </w:p>
          <w:p>
            <w:pPr>
              <w:shd w:val="clear" w:color="auto" w:fill="FFFFFF"/>
              <w:spacing w:line="256" w:lineRule="auto"/>
              <w:ind w:firstLine="204"/>
              <w:jc w:val="both"/>
            </w:pPr>
            <w:r>
              <w:t>Важнейшие способы получения аминов и аминокислот.</w:t>
            </w:r>
          </w:p>
          <w:p>
            <w:pPr>
              <w:shd w:val="clear" w:color="auto" w:fill="FFFFFF"/>
              <w:spacing w:line="256" w:lineRule="auto"/>
              <w:ind w:firstLine="204"/>
              <w:jc w:val="both"/>
              <w:rPr>
                <w:rFonts w:ascii="yandex-sans" w:hAnsi="yandex-sans"/>
                <w:color w:val="000000"/>
                <w:sz w:val="23"/>
                <w:szCs w:val="23"/>
                <w:lang w:eastAsia="en-US"/>
              </w:rPr>
            </w:pPr>
            <w:r>
              <w:t xml:space="preserve"> Биологически важные вещества: жиры, углеводы (моносахариды, дисахариды, полисахариды), белки.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14</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Характерные химические свойства углеводородов: алканов, циклоалканов, алкенов, диенов, алкинов, ароматических углеводородов (бензола и</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гомологов бензола, стирола).</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Важнейшие способы получения углеводородов.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Ионный (правило В.В. Марковникова) и радикальные механизмы реакций в органической химии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 xml:space="preserve">Повышенный </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15</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pPr>
            <w:r>
              <w:t xml:space="preserve">Характерные химические свойства предельных одноатомных и многоатомных спиртов, фенола, альдегидов, карбоновых кислот, сложных эфиров. </w:t>
            </w:r>
          </w:p>
          <w:p>
            <w:pPr>
              <w:shd w:val="clear" w:color="auto" w:fill="FFFFFF"/>
              <w:spacing w:line="256" w:lineRule="auto"/>
              <w:ind w:firstLine="204"/>
              <w:jc w:val="both"/>
              <w:rPr>
                <w:rFonts w:ascii="yandex-sans" w:hAnsi="yandex-sans"/>
                <w:color w:val="000000"/>
                <w:sz w:val="23"/>
                <w:szCs w:val="23"/>
                <w:lang w:eastAsia="en-US"/>
              </w:rPr>
            </w:pPr>
            <w:r>
              <w:t xml:space="preserve">Важнейшие способы получения кислородсодержащих органических соединений </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16</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Взаимосвязь углеводородов, кислородсодержащих и азотсодержащих органических соединений</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17</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Классификация химических реакций в неорганической и органической химии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 xml:space="preserve">Базовый </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b/>
                <w:bCs/>
                <w:color w:val="000000"/>
                <w:sz w:val="22"/>
                <w:szCs w:val="22"/>
              </w:rPr>
              <w:t>27,0%</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18</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Скорость реакции, её зависимость от различных факторов.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19</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Реакции окислительно-восстановительные реакций в неорганической и органической химии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20</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Электролиз расплавов и растворов (солей, щелочей, кислот)</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21</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Гидролиз солей. Среда водных</w:t>
            </w:r>
          </w:p>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растворов: кислая, нейтральная, щелочная</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22</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Обратимые и необратимые химические реакции. Химическое равновесие. Смещение равновесия под действием различных факторов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51,0%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23</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t>Обратимые и необратимые химические реакции. Химическое равновесие. Расчёты количества вещества, массы вещества или объёма газов по известному количеству вещества, массе или объёму одного из участвующих в реакции веществ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24</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Качественные реакции на неорганические вещества и ионы. Качественные реакции</w:t>
            </w:r>
          </w:p>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 xml:space="preserve">органических соединений </w:t>
            </w:r>
          </w:p>
          <w:p>
            <w:pPr>
              <w:shd w:val="clear" w:color="auto" w:fill="FFFFFF"/>
              <w:spacing w:line="256" w:lineRule="auto"/>
              <w:jc w:val="both"/>
              <w:rPr>
                <w:rFonts w:ascii="yandex-sans" w:hAnsi="yandex-sans"/>
                <w:color w:val="000000"/>
                <w:sz w:val="23"/>
                <w:szCs w:val="23"/>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Повышенный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25</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Правила работы в лаборатории.</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Лабораторная посуда и оборудование. Правила безопасности при работе с едкими, горючими и токсичными веществами, средствами бытовой химии.</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Научные методы исследования химических веществ и превращений. Методы разделения смесей и очистки веществ.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Понятие о металлургии: общие способы получения металлов. Общие научные принципы химического производства (на примере промышленного получения аммиака, серной кислоты, метанола). Химическое загрязнение окружающей среды и его последствия. Природные источники углеводородов, их переработка.</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Высокомолекулярные соединения. Реакции полимеризации и поликонденсации. Полимеры. Пластмассы, волокна, каучуки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54,0%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26</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t>Расчёты с использованием понятий «растворимость», «массовая доля вещества в растворе»</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27</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t>Расчёты теплового эффекта (по термохимическим уравнениям)</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78,0%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28</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pPr>
            <w:r>
              <w:t>Расчёты массы вещества или объёма газов по известному количеству вещества, массе или объёму одного из участвующих в реакции веществ.</w:t>
            </w:r>
          </w:p>
          <w:p>
            <w:pPr>
              <w:shd w:val="clear" w:color="auto" w:fill="FFFFFF"/>
              <w:spacing w:line="256" w:lineRule="auto"/>
              <w:ind w:firstLine="204"/>
              <w:jc w:val="both"/>
            </w:pPr>
            <w:r>
              <w:t xml:space="preserve"> Расчёты массовой или объёмной доли выхода продукта реакции от теоретически возможного. </w:t>
            </w:r>
          </w:p>
          <w:p>
            <w:pPr>
              <w:shd w:val="clear" w:color="auto" w:fill="FFFFFF"/>
              <w:spacing w:line="256" w:lineRule="auto"/>
              <w:ind w:firstLine="204"/>
              <w:jc w:val="both"/>
              <w:rPr>
                <w:rFonts w:ascii="yandex-sans" w:hAnsi="yandex-sans"/>
                <w:color w:val="000000"/>
                <w:sz w:val="23"/>
                <w:szCs w:val="23"/>
                <w:lang w:eastAsia="en-US"/>
              </w:rPr>
            </w:pPr>
            <w:r>
              <w:t>Расчёты массовой доли (массы) химического соединения в смеси</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Базовый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60,0%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29</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Реакции окислительно- восстановительные</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30</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Электролитическая диссоциация электролитов в водных растворах. Сильные и слабые электролиты. Реакции ионного обмена</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11,0%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31</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Реакции, подтверждающие</w:t>
            </w:r>
          </w:p>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взаимосвязь различных классов неорганических веществ</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27,0%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1"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32</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jc w:val="both"/>
              <w:rPr>
                <w:rFonts w:ascii="yandex-sans" w:hAnsi="yandex-sans"/>
                <w:color w:val="000000"/>
                <w:sz w:val="23"/>
                <w:szCs w:val="23"/>
                <w:lang w:eastAsia="en-US"/>
              </w:rPr>
            </w:pPr>
            <w:r>
              <w:rPr>
                <w:rFonts w:ascii="yandex-sans" w:hAnsi="yandex-sans"/>
                <w:color w:val="000000"/>
                <w:sz w:val="23"/>
                <w:szCs w:val="23"/>
                <w:lang w:eastAsia="en-US"/>
              </w:rPr>
              <w:t>Реакции, подтверждающие взаимосвязь органических соединений</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22,0%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11,0%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15,0%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13,0%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31,0%</w:t>
            </w:r>
          </w:p>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33</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Установление молекулярной и структурной формулы вещества</w:t>
            </w: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9,0%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8" w:hRule="atLeast"/>
        </w:trPr>
        <w:tc>
          <w:tcPr>
            <w:tcW w:w="0" w:type="auto"/>
            <w:tcBorders>
              <w:top w:val="single" w:color="auto" w:sz="4" w:space="0"/>
              <w:left w:val="single" w:color="auto" w:sz="4" w:space="0"/>
              <w:bottom w:val="single" w:color="auto" w:sz="4" w:space="0"/>
              <w:right w:val="single" w:color="auto" w:sz="4" w:space="0"/>
            </w:tcBorders>
          </w:tcPr>
          <w:p>
            <w:pPr>
              <w:spacing w:line="256" w:lineRule="auto"/>
              <w:jc w:val="both"/>
              <w:rPr>
                <w:lang w:eastAsia="en-US"/>
              </w:rPr>
            </w:pPr>
            <w:r>
              <w:rPr>
                <w:lang w:eastAsia="en-US"/>
              </w:rPr>
              <w:t>34</w:t>
            </w:r>
          </w:p>
        </w:tc>
        <w:tc>
          <w:tcPr>
            <w:tcW w:w="0" w:type="auto"/>
            <w:tcBorders>
              <w:top w:val="single" w:color="auto" w:sz="4" w:space="0"/>
              <w:left w:val="single" w:color="auto" w:sz="4" w:space="0"/>
              <w:bottom w:val="single" w:color="auto" w:sz="4" w:space="0"/>
              <w:right w:val="single" w:color="auto" w:sz="4" w:space="0"/>
            </w:tcBorders>
          </w:tcPr>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Расчёты с использованием понятий «растворимость», «массовая доля вещества в растворе».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Расчёты массы (объёма, количества вещества) продуктов реакции, если одно из веществ дано в избытке (имеет примеси). </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val="ru-RU" w:eastAsia="en-US"/>
              </w:rPr>
              <w:t>Расчёты</w:t>
            </w:r>
            <w:r>
              <w:rPr>
                <w:rFonts w:ascii="yandex-sans" w:hAnsi="yandex-sans"/>
                <w:color w:val="000000"/>
                <w:sz w:val="23"/>
                <w:szCs w:val="23"/>
                <w:lang w:eastAsia="en-US"/>
              </w:rPr>
              <w:t xml:space="preserve"> массы (объема, количества вещества) продукта реакции, если одно из веществ дано в виде раствора с </w:t>
            </w:r>
            <w:r>
              <w:rPr>
                <w:rFonts w:ascii="yandex-sans" w:hAnsi="yandex-sans"/>
                <w:color w:val="000000"/>
                <w:sz w:val="23"/>
                <w:szCs w:val="23"/>
                <w:lang w:val="ru-RU" w:eastAsia="en-US"/>
              </w:rPr>
              <w:t>определённой</w:t>
            </w:r>
            <w:r>
              <w:rPr>
                <w:rFonts w:ascii="yandex-sans" w:hAnsi="yandex-sans"/>
                <w:color w:val="000000"/>
                <w:sz w:val="23"/>
                <w:szCs w:val="23"/>
                <w:lang w:eastAsia="en-US"/>
              </w:rPr>
              <w:t xml:space="preserve"> массовой долей </w:t>
            </w:r>
            <w:r>
              <w:rPr>
                <w:rFonts w:ascii="yandex-sans" w:hAnsi="yandex-sans"/>
                <w:color w:val="000000"/>
                <w:sz w:val="23"/>
                <w:szCs w:val="23"/>
                <w:lang w:val="ru-RU" w:eastAsia="en-US"/>
              </w:rPr>
              <w:t>растворённого</w:t>
            </w:r>
            <w:r>
              <w:rPr>
                <w:rFonts w:ascii="yandex-sans" w:hAnsi="yandex-sans"/>
                <w:color w:val="000000"/>
                <w:sz w:val="23"/>
                <w:szCs w:val="23"/>
                <w:lang w:eastAsia="en-US"/>
              </w:rPr>
              <w:t xml:space="preserve"> вещества.</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Расчёты массовой или объёмной доли выхода продукта реакции от теоретически возможного.</w:t>
            </w:r>
          </w:p>
          <w:p>
            <w:pPr>
              <w:shd w:val="clear" w:color="auto" w:fill="FFFFFF"/>
              <w:spacing w:line="256" w:lineRule="auto"/>
              <w:rPr>
                <w:rFonts w:ascii="yandex-sans" w:hAnsi="yandex-sans"/>
                <w:color w:val="000000"/>
                <w:sz w:val="23"/>
                <w:szCs w:val="23"/>
                <w:lang w:eastAsia="en-US"/>
              </w:rPr>
            </w:pPr>
            <w:r>
              <w:rPr>
                <w:rFonts w:ascii="yandex-sans" w:hAnsi="yandex-sans"/>
                <w:color w:val="000000"/>
                <w:sz w:val="23"/>
                <w:szCs w:val="23"/>
                <w:lang w:eastAsia="en-US"/>
              </w:rPr>
              <w:t>Расчёты массовой доли (массы) химического соединения в смеси</w:t>
            </w:r>
          </w:p>
          <w:p>
            <w:pPr>
              <w:shd w:val="clear" w:color="auto" w:fill="FFFFFF"/>
              <w:spacing w:line="256" w:lineRule="auto"/>
              <w:rPr>
                <w:rFonts w:ascii="yandex-sans" w:hAnsi="yandex-sans"/>
                <w:color w:val="000000"/>
                <w:sz w:val="23"/>
                <w:szCs w:val="23"/>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r>
              <w:rPr>
                <w:lang w:eastAsia="en-US"/>
              </w:rPr>
              <w:t>Высокий</w:t>
            </w: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84,0%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4,0%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6,0%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jc w:val="center"/>
              <w:rPr>
                <w:b/>
                <w:bCs/>
                <w:color w:val="000000"/>
                <w:sz w:val="22"/>
                <w:szCs w:val="22"/>
              </w:rPr>
            </w:pPr>
            <w:r>
              <w:rPr>
                <w:b/>
                <w:bCs/>
                <w:color w:val="000000"/>
                <w:sz w:val="22"/>
                <w:szCs w:val="22"/>
              </w:rPr>
              <w:t>3,0%</w:t>
            </w:r>
          </w:p>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c>
          <w:tcPr>
            <w:tcW w:w="0" w:type="auto"/>
            <w:tcBorders>
              <w:top w:val="single" w:color="auto" w:sz="4" w:space="0"/>
              <w:left w:val="single" w:color="auto" w:sz="4" w:space="0"/>
              <w:bottom w:val="single" w:color="auto" w:sz="4" w:space="0"/>
              <w:right w:val="single" w:color="auto" w:sz="4" w:space="0"/>
            </w:tcBorders>
          </w:tcPr>
          <w:p>
            <w:pPr>
              <w:spacing w:line="256" w:lineRule="auto"/>
              <w:jc w:val="center"/>
              <w:rPr>
                <w:lang w:eastAsia="en-US"/>
              </w:rPr>
            </w:pPr>
          </w:p>
        </w:tc>
      </w:tr>
    </w:tbl>
    <w:p>
      <w:pPr>
        <w:ind w:left="-284"/>
        <w:jc w:val="both"/>
      </w:pPr>
    </w:p>
    <w:p>
      <w:pPr>
        <w:pStyle w:val="4"/>
        <w:widowControl w:val="0"/>
        <w:spacing w:line="240" w:lineRule="auto"/>
        <w:jc w:val="left"/>
        <w:rPr>
          <w:rFonts w:eastAsia="Times New Roman"/>
          <w:color w:val="auto"/>
          <w:kern w:val="0"/>
          <w:u w:val="single"/>
        </w:rPr>
      </w:pPr>
    </w:p>
    <w:p>
      <w:pPr>
        <w:pStyle w:val="4"/>
        <w:widowControl w:val="0"/>
        <w:spacing w:line="240" w:lineRule="auto"/>
        <w:jc w:val="left"/>
        <w:rPr>
          <w:rFonts w:eastAsia="Times New Roman"/>
          <w:color w:val="auto"/>
          <w:kern w:val="0"/>
          <w:u w:val="single"/>
        </w:rPr>
      </w:pPr>
    </w:p>
    <w:p>
      <w:pPr>
        <w:pStyle w:val="4"/>
        <w:widowControl w:val="0"/>
        <w:spacing w:line="240" w:lineRule="auto"/>
        <w:jc w:val="left"/>
        <w:rPr>
          <w:rFonts w:eastAsia="Times New Roman"/>
          <w:color w:val="auto"/>
          <w:kern w:val="0"/>
          <w:u w:val="single"/>
        </w:rPr>
      </w:pPr>
    </w:p>
    <w:p>
      <w:pPr>
        <w:pStyle w:val="4"/>
        <w:widowControl w:val="0"/>
        <w:spacing w:line="240" w:lineRule="auto"/>
        <w:jc w:val="left"/>
        <w:rPr>
          <w:rFonts w:eastAsia="Times New Roman"/>
          <w:color w:val="auto"/>
          <w:kern w:val="0"/>
          <w:u w:val="single"/>
        </w:rPr>
      </w:pPr>
      <w:r>
        <w:rPr>
          <w:rFonts w:eastAsia="Times New Roman"/>
          <w:color w:val="auto"/>
          <w:kern w:val="0"/>
          <w:u w:val="single"/>
        </w:rPr>
        <w:t xml:space="preserve">2.3Анализ результатов выполнения отдельных заданий или групп заданий </w:t>
      </w:r>
    </w:p>
    <w:p>
      <w:pPr>
        <w:pStyle w:val="4"/>
        <w:widowControl w:val="0"/>
        <w:spacing w:line="240" w:lineRule="auto"/>
        <w:ind w:firstLine="708"/>
        <w:jc w:val="left"/>
        <w:rPr>
          <w:rFonts w:eastAsia="Times New Roman"/>
          <w:color w:val="auto"/>
          <w:kern w:val="0"/>
          <w:highlight w:val="yellow"/>
        </w:rPr>
      </w:pPr>
    </w:p>
    <w:p>
      <w:pPr>
        <w:ind w:firstLine="540"/>
        <w:jc w:val="center"/>
        <w:rPr>
          <w:u w:val="single"/>
        </w:rPr>
      </w:pPr>
      <w:r>
        <w:rPr>
          <w:u w:val="single"/>
        </w:rPr>
        <w:t xml:space="preserve">Результаты выполнения заданий </w:t>
      </w:r>
      <w:r>
        <w:rPr>
          <w:u w:val="single"/>
          <w:lang w:val="en-US"/>
        </w:rPr>
        <w:t>I</w:t>
      </w:r>
      <w:r>
        <w:rPr>
          <w:u w:val="single"/>
        </w:rPr>
        <w:t xml:space="preserve"> и </w:t>
      </w:r>
      <w:r>
        <w:rPr>
          <w:u w:val="single"/>
          <w:lang w:val="en-US"/>
        </w:rPr>
        <w:t>II</w:t>
      </w:r>
      <w:r>
        <w:rPr>
          <w:u w:val="single"/>
        </w:rPr>
        <w:t xml:space="preserve">   части</w:t>
      </w:r>
    </w:p>
    <w:p>
      <w:pPr>
        <w:ind w:firstLine="540"/>
      </w:pPr>
      <w:r>
        <w:t>Анализ результатов ЕГЭ по химии в г. Орске показывает, что учащиеся плохо усвоили следующие темы (процент выполнения меньше 50%):</w:t>
      </w:r>
    </w:p>
    <w:p>
      <w:pPr>
        <w:shd w:val="clear" w:color="auto" w:fill="FFFFFF"/>
        <w:spacing w:line="256" w:lineRule="auto"/>
        <w:ind w:firstLine="204"/>
        <w:jc w:val="both"/>
        <w:rPr>
          <w:rFonts w:ascii="yandex-sans" w:hAnsi="yandex-sans"/>
          <w:color w:val="000000"/>
          <w:lang w:eastAsia="en-US"/>
        </w:rPr>
      </w:pPr>
      <w:r>
        <w:t>29.</w:t>
      </w:r>
      <w:r>
        <w:rPr>
          <w:rFonts w:ascii="yandex-sans" w:hAnsi="yandex-sans"/>
          <w:color w:val="000000"/>
          <w:lang w:eastAsia="en-US"/>
        </w:rPr>
        <w:t xml:space="preserve"> Реакции окислительно - восстановительные. (Причиной того что с данным заданием плохо справились участники послужило низко сформированная читательская грамотность, не внимательное прочтение задания  и как следствие неверно составленное уравнение реакции)</w:t>
      </w:r>
    </w:p>
    <w:p>
      <w:pPr>
        <w:shd w:val="clear" w:color="auto" w:fill="FFFFFF"/>
        <w:spacing w:line="256" w:lineRule="auto"/>
        <w:jc w:val="both"/>
        <w:rPr>
          <w:rFonts w:ascii="yandex-sans" w:hAnsi="yandex-sans"/>
          <w:color w:val="000000"/>
          <w:lang w:eastAsia="en-US"/>
        </w:rPr>
      </w:pPr>
      <w:r>
        <w:rPr>
          <w:rFonts w:ascii="yandex-sans" w:hAnsi="yandex-sans"/>
          <w:color w:val="000000"/>
          <w:lang w:eastAsia="en-US"/>
        </w:rPr>
        <w:t xml:space="preserve">    31. </w:t>
      </w:r>
      <w:r>
        <w:rPr>
          <w:rFonts w:ascii="yandex-sans" w:hAnsi="yandex-sans"/>
          <w:color w:val="000000"/>
          <w:sz w:val="23"/>
          <w:szCs w:val="23"/>
          <w:lang w:eastAsia="en-US"/>
        </w:rPr>
        <w:t xml:space="preserve">Реакции, подтверждающие взаимосвязь различных классов неорганических веществ (Причина плохого выполнения задания послужило неумение </w:t>
      </w:r>
      <w:r>
        <w:rPr>
          <w:i/>
        </w:rPr>
        <w:t>у</w:t>
      </w:r>
      <w:r>
        <w:rPr>
          <w:iCs/>
        </w:rPr>
        <w:t>станавливать причинно-следственные связи, строить логическое рассуждение, умозаключение (индуктивное, дедуктивное и по аналогии) и делать выводы)</w:t>
      </w:r>
    </w:p>
    <w:p>
      <w:pPr>
        <w:shd w:val="clear" w:color="auto" w:fill="FFFFFF"/>
        <w:spacing w:line="256" w:lineRule="auto"/>
        <w:ind w:firstLine="204"/>
        <w:jc w:val="both"/>
        <w:rPr>
          <w:color w:val="000000"/>
          <w:lang w:eastAsia="en-US"/>
        </w:rPr>
      </w:pPr>
      <w:r>
        <w:rPr>
          <w:color w:val="000000"/>
          <w:lang w:eastAsia="en-US"/>
        </w:rPr>
        <w:t xml:space="preserve">34. Расчёты с использованием понятий «растворимость», «массовая доля вещества в растворе». Расчёты массы (объёма, количества вещества) продуктов реакции, если одно из веществ дано в избытке (имеет примеси). 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 Расчёты массовой или объёмной доли выхода продукта реакции от теоретически возможного. Расчёты массовой доли (массы) химического соединения в смеси </w:t>
      </w:r>
      <w:r>
        <w:rPr>
          <w:rFonts w:ascii="yandex-sans" w:hAnsi="yandex-sans"/>
          <w:color w:val="000000"/>
          <w:sz w:val="23"/>
          <w:szCs w:val="23"/>
          <w:lang w:eastAsia="en-US"/>
        </w:rPr>
        <w:t xml:space="preserve">(Причина плохого выполнения задания послужило неумение </w:t>
      </w:r>
      <w:r>
        <w:rPr>
          <w:i/>
        </w:rPr>
        <w:t>у</w:t>
      </w:r>
      <w:r>
        <w:rPr>
          <w:iCs/>
        </w:rPr>
        <w:t>станавливать причинно-следственные связи, строить логическое рассуждение, умозаключение (индуктивное, дедуктивное и по аналогии) и делать выводы)</w:t>
      </w:r>
    </w:p>
    <w:p>
      <w:pPr>
        <w:shd w:val="clear" w:color="auto" w:fill="FFFFFF"/>
        <w:spacing w:line="256" w:lineRule="auto"/>
        <w:ind w:firstLine="204"/>
        <w:jc w:val="both"/>
        <w:rPr>
          <w:color w:val="000000"/>
          <w:lang w:eastAsia="en-US"/>
        </w:rPr>
      </w:pPr>
    </w:p>
    <w:p>
      <w:pPr>
        <w:shd w:val="clear" w:color="auto" w:fill="FFFFFF"/>
        <w:spacing w:line="256" w:lineRule="auto"/>
        <w:ind w:firstLine="204"/>
        <w:jc w:val="center"/>
      </w:pPr>
      <w:r>
        <w:t>Хорошо усвоены следующие темы (процент выполнения больше 70 %):</w:t>
      </w:r>
    </w:p>
    <w:p>
      <w:pPr>
        <w:shd w:val="clear" w:color="auto" w:fill="FFFFFF"/>
        <w:spacing w:line="256" w:lineRule="auto"/>
        <w:ind w:firstLine="204"/>
        <w:jc w:val="both"/>
        <w:rPr>
          <w:rFonts w:ascii="yandex-sans" w:hAnsi="yandex-sans"/>
          <w:color w:val="000000"/>
          <w:sz w:val="23"/>
          <w:szCs w:val="23"/>
          <w:lang w:eastAsia="en-US"/>
        </w:rPr>
      </w:pPr>
      <w:r>
        <w:t xml:space="preserve"> </w:t>
      </w:r>
      <w:r>
        <w:rPr>
          <w:rFonts w:ascii="yandex-sans" w:hAnsi="yandex-sans"/>
          <w:color w:val="000000"/>
          <w:sz w:val="23"/>
          <w:szCs w:val="23"/>
          <w:lang w:eastAsia="en-US"/>
        </w:rPr>
        <w:t>2.Закономерности изменения химических свойств элементов и их соединений по периодам и группам. Общая характеристика металлов IА–IIIА групп в связи с их положением в Периодической системе химических элементов Д.И. Менделеева и особенностями строения их атомов. Характеристика переходных элементов – меди, цинка, хрома, железа – по их положению в Периодической системе химических элементов Д.И. Менделеева и особенностям строения их атомов. Общая характеристика неметаллов IVА–VIIА групп в связи с их положением в Периодической системе химических элементов Д.И. Менделеева и особенностями строения их атомов.</w:t>
      </w:r>
    </w:p>
    <w:p>
      <w:pPr>
        <w:shd w:val="clear" w:color="auto" w:fill="FFFFFF"/>
        <w:spacing w:line="256" w:lineRule="auto"/>
        <w:ind w:firstLine="346"/>
        <w:jc w:val="both"/>
      </w:pPr>
      <w:r>
        <w:t>4. Ковалентная химическая связь, её разновидности и механизмы образования. Характеристики ковалентной связи (полярность и энергия связи). Ионная связь. Металлическая связь. Водородная связь. Вещества молекулярного и немолекулярного строения. Тип кристаллической решётки. Зависимость свойств веществ от их состава и строения.</w:t>
      </w:r>
    </w:p>
    <w:p>
      <w:pPr>
        <w:shd w:val="clear" w:color="auto" w:fill="FFFFFF"/>
        <w:spacing w:line="256" w:lineRule="auto"/>
        <w:ind w:firstLine="204"/>
        <w:jc w:val="both"/>
      </w:pPr>
      <w:r>
        <w:rPr>
          <w:rFonts w:ascii="yandex-sans" w:hAnsi="yandex-sans"/>
          <w:color w:val="000000"/>
          <w:sz w:val="23"/>
          <w:szCs w:val="23"/>
          <w:lang w:eastAsia="en-US"/>
        </w:rPr>
        <w:t xml:space="preserve">6. </w:t>
      </w:r>
      <w:r>
        <w:t>Характерные химические свойства простых веществ – металлов: щелочных, щёлочноземельных, магния, алюминия; переходных металлов: меди, цинка, хрома, железа. Характерные химические свойства простых веществ – неметаллов: водорода, галогенов, кислорода, серы, азота, фосфора, углерода, кремния.  Характерные химические свойства оксидов: оснóвных, амфотерных, кислотных Характерные химические свойства оснований и амфотерных гидроксидов. Характерные химические свойства кислот. Характерные химические свойства солей: средних, кислых, оснóвных; комплексных (на примере гидроксосоединений алюминия и цинка).  Электролитическая диссоциация электролитов в водных растворах. Сильные и слабые электролит</w:t>
      </w:r>
    </w:p>
    <w:p>
      <w:pPr>
        <w:shd w:val="clear" w:color="auto" w:fill="FFFFFF"/>
        <w:spacing w:line="256" w:lineRule="auto"/>
        <w:ind w:firstLine="204"/>
        <w:rPr>
          <w:rFonts w:ascii="yandex-sans" w:hAnsi="yandex-sans"/>
          <w:color w:val="000000"/>
          <w:sz w:val="23"/>
          <w:szCs w:val="23"/>
          <w:lang w:eastAsia="en-US"/>
        </w:rPr>
      </w:pPr>
      <w:r>
        <w:rPr>
          <w:rFonts w:ascii="yandex-sans" w:hAnsi="yandex-sans"/>
          <w:color w:val="000000"/>
          <w:sz w:val="23"/>
          <w:szCs w:val="23"/>
          <w:lang w:eastAsia="en-US"/>
        </w:rPr>
        <w:t>9.</w:t>
      </w:r>
      <w:r>
        <w:t xml:space="preserve"> </w:t>
      </w:r>
      <w:r>
        <w:rPr>
          <w:rFonts w:ascii="yandex-sans" w:hAnsi="yandex-sans"/>
          <w:color w:val="000000"/>
          <w:sz w:val="23"/>
          <w:szCs w:val="23"/>
          <w:lang w:eastAsia="en-US"/>
        </w:rPr>
        <w:t>Взаимосвязь неорганических веществ.</w:t>
      </w:r>
    </w:p>
    <w:p>
      <w:pPr>
        <w:shd w:val="clear" w:color="auto" w:fill="FFFFFF"/>
        <w:spacing w:line="256" w:lineRule="auto"/>
        <w:ind w:firstLine="142"/>
        <w:rPr>
          <w:rFonts w:ascii="yandex-sans" w:hAnsi="yandex-sans"/>
          <w:color w:val="000000"/>
          <w:sz w:val="23"/>
          <w:szCs w:val="23"/>
          <w:lang w:eastAsia="en-US"/>
        </w:rPr>
      </w:pPr>
      <w:r>
        <w:rPr>
          <w:rFonts w:ascii="yandex-sans" w:hAnsi="yandex-sans"/>
          <w:color w:val="000000"/>
          <w:sz w:val="23"/>
          <w:szCs w:val="23"/>
          <w:lang w:eastAsia="en-US"/>
        </w:rPr>
        <w:t>10. Классификация органических веществ. Номенклатура органических веществ (тривиальная и международная)</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 xml:space="preserve">13. </w:t>
      </w:r>
      <w:r>
        <w:t>Характерные химические свойства азотсодержащих органических соединений: аминов и аминокислот. Важнейшие способы получения аминов и аминокислот. Биологически важные вещества: жиры, углеводы (моносахариды, дисахариды, полисахариды), белки.</w:t>
      </w:r>
    </w:p>
    <w:p>
      <w:pPr>
        <w:shd w:val="clear" w:color="auto" w:fill="FFFFFF"/>
        <w:spacing w:line="256" w:lineRule="auto"/>
        <w:ind w:firstLine="204"/>
        <w:jc w:val="both"/>
        <w:rPr>
          <w:rFonts w:ascii="yandex-sans" w:hAnsi="yandex-sans"/>
          <w:color w:val="000000"/>
          <w:sz w:val="23"/>
          <w:szCs w:val="23"/>
          <w:lang w:eastAsia="en-US"/>
        </w:rPr>
      </w:pPr>
      <w:r>
        <w:rPr>
          <w:rFonts w:ascii="yandex-sans" w:hAnsi="yandex-sans"/>
          <w:color w:val="000000"/>
          <w:sz w:val="23"/>
          <w:szCs w:val="23"/>
          <w:lang w:eastAsia="en-US"/>
        </w:rPr>
        <w:t>14. 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Важнейшие способы получения углеводородов. Ионный (правило В.В. Марковникова) и радикальные механизмы реакций в органической химии.</w:t>
      </w:r>
    </w:p>
    <w:p>
      <w:pPr>
        <w:shd w:val="clear" w:color="auto" w:fill="FFFFFF"/>
        <w:spacing w:line="256" w:lineRule="auto"/>
        <w:ind w:firstLine="142"/>
        <w:jc w:val="both"/>
        <w:rPr>
          <w:rFonts w:ascii="yandex-sans" w:hAnsi="yandex-sans"/>
          <w:color w:val="000000"/>
          <w:sz w:val="23"/>
          <w:szCs w:val="23"/>
          <w:lang w:eastAsia="en-US"/>
        </w:rPr>
      </w:pPr>
      <w:r>
        <w:rPr>
          <w:rFonts w:ascii="yandex-sans" w:hAnsi="yandex-sans"/>
          <w:color w:val="000000"/>
          <w:sz w:val="23"/>
          <w:szCs w:val="23"/>
          <w:lang w:eastAsia="en-US"/>
        </w:rPr>
        <w:t>19. Реакции окислительно-восстановительные реакций в неорганической и органической химии</w:t>
      </w:r>
    </w:p>
    <w:p>
      <w:pPr>
        <w:shd w:val="clear" w:color="auto" w:fill="FFFFFF"/>
        <w:spacing w:line="256" w:lineRule="auto"/>
        <w:ind w:firstLine="142"/>
        <w:jc w:val="both"/>
        <w:rPr>
          <w:rFonts w:ascii="yandex-sans" w:hAnsi="yandex-sans"/>
          <w:color w:val="000000"/>
          <w:sz w:val="23"/>
          <w:szCs w:val="23"/>
          <w:lang w:eastAsia="en-US"/>
        </w:rPr>
      </w:pPr>
      <w:r>
        <w:rPr>
          <w:rFonts w:ascii="yandex-sans" w:hAnsi="yandex-sans"/>
          <w:color w:val="000000"/>
          <w:sz w:val="23"/>
          <w:szCs w:val="23"/>
          <w:lang w:eastAsia="en-US"/>
        </w:rPr>
        <w:t>20. Электролиз расплавов и растворов (солей, щелочей, кислот)</w:t>
      </w:r>
    </w:p>
    <w:p>
      <w:pPr>
        <w:shd w:val="clear" w:color="auto" w:fill="FFFFFF"/>
        <w:spacing w:line="256" w:lineRule="auto"/>
        <w:ind w:firstLine="142"/>
        <w:jc w:val="both"/>
        <w:rPr>
          <w:rFonts w:ascii="yandex-sans" w:hAnsi="yandex-sans"/>
          <w:color w:val="000000"/>
          <w:sz w:val="23"/>
          <w:szCs w:val="23"/>
          <w:lang w:eastAsia="en-US"/>
        </w:rPr>
      </w:pPr>
      <w:r>
        <w:rPr>
          <w:rFonts w:ascii="yandex-sans" w:hAnsi="yandex-sans"/>
          <w:color w:val="000000"/>
          <w:sz w:val="23"/>
          <w:szCs w:val="23"/>
          <w:lang w:eastAsia="en-US"/>
        </w:rPr>
        <w:t>21. Гидролиз солей. Среда водных растворов: кислая, нейтральная, щелочная</w:t>
      </w:r>
    </w:p>
    <w:p>
      <w:pPr>
        <w:shd w:val="clear" w:color="auto" w:fill="FFFFFF"/>
        <w:spacing w:line="256" w:lineRule="auto"/>
        <w:ind w:firstLine="142"/>
        <w:jc w:val="both"/>
      </w:pPr>
      <w:r>
        <w:rPr>
          <w:rFonts w:ascii="yandex-sans" w:hAnsi="yandex-sans"/>
          <w:color w:val="000000"/>
          <w:sz w:val="23"/>
          <w:szCs w:val="23"/>
          <w:lang w:eastAsia="en-US"/>
        </w:rPr>
        <w:t>23.</w:t>
      </w:r>
      <w:r>
        <w:t xml:space="preserve"> Обратимые и необратимые химические реакции. Химическое равновесие. Расчёты количества вещества, массы вещества или объёма газов по известному количеству вещества, массе или объёму одного из участвующих в реакции веществ</w:t>
      </w:r>
    </w:p>
    <w:p>
      <w:pPr>
        <w:shd w:val="clear" w:color="auto" w:fill="FFFFFF"/>
        <w:spacing w:line="256" w:lineRule="auto"/>
        <w:ind w:firstLine="142"/>
        <w:jc w:val="both"/>
      </w:pPr>
      <w:r>
        <w:t>26. Расчёты с использованием понятий «растворимость», «массовая доля вещества в растворе»</w:t>
      </w:r>
    </w:p>
    <w:p>
      <w:pPr>
        <w:shd w:val="clear" w:color="auto" w:fill="FFFFFF"/>
        <w:spacing w:line="256" w:lineRule="auto"/>
        <w:ind w:firstLine="142"/>
        <w:jc w:val="both"/>
      </w:pPr>
      <w:r>
        <w:t>27. Расчёты теплового эффекта (по термохимическим уравнениям)</w:t>
      </w:r>
    </w:p>
    <w:p>
      <w:pPr>
        <w:shd w:val="clear" w:color="auto" w:fill="FFFFFF"/>
        <w:spacing w:line="256" w:lineRule="auto"/>
        <w:ind w:firstLine="142"/>
        <w:jc w:val="both"/>
      </w:pPr>
      <w:r>
        <w:t>Сравнивая результаты ЕГЭ -2022 и 2023 года, мы видим, что количество заданий, с которыми плохо справились участники экзамена уменьшилось на 1 задание (4 задание). В этом году учащиеся справились с этим заданием очень хорошо (процент выполнения-84%). Но в данной группе появилось новое задание из второй части, с которым плохо справились учащиеся (задание 31). Также по сравнению с 2022 годом хуже справились с заданиями номер 1, 5,22,30 (процент выполнения ниже 70%). В тоже время лучше справились в этом году с заданием номер 13.</w:t>
      </w:r>
    </w:p>
    <w:p>
      <w:pPr>
        <w:ind w:right="-1" w:firstLine="567"/>
        <w:jc w:val="both"/>
        <w:rPr>
          <w:b/>
        </w:rPr>
      </w:pPr>
      <w:r>
        <w:rPr>
          <w:b/>
        </w:rPr>
        <w:t>3. Выделение общих тенденций и выводов по качеству преподавания.</w:t>
      </w:r>
    </w:p>
    <w:p>
      <w:pPr>
        <w:ind w:right="-1" w:firstLine="567"/>
        <w:jc w:val="both"/>
      </w:pPr>
      <w:r>
        <w:t>С каждым годом задания в КИМах по химии усложняются. Одной из возможных причин низкого процента выполнения по группам заданий является недостаточный уровень систематизации и обобщения контролируемого этими заданиями материала. Так, например, несмотря на владение выпускниками понятийным аппаратом курса химии, важным является также умение находить возможность применения одного и того же понятия в разных темах. Другой причиной затруднений может быть формулировка условий заданий в новом формате, или, если в условие задания включены вещества или реакции, которые на этапе подготовки к экзамену не встречались. Но самой главной причиной затруднений может являться отсутствие возможности подготовиться должным образом к выпускным испытаниям. Для успешного выполнения заданий необходимо изучение химии на профильном уровне, в то время как практически все школы г. Орска изучают предмет на базовом уровне.</w:t>
      </w:r>
    </w:p>
    <w:p>
      <w:pPr>
        <w:ind w:firstLine="567"/>
        <w:jc w:val="both"/>
      </w:pPr>
      <w:r>
        <w:t xml:space="preserve">Участники ЕГЭ хорошо справились с базовыми заданиями. Затруднения вызвали задания повышенного и высокого уровня сложности. Их выполнение требует высокого уровня подготовленности учащихся, умения мыслить, анализировать, на что способны далеко не все. </w:t>
      </w:r>
    </w:p>
    <w:p>
      <w:pPr>
        <w:ind w:right="-1"/>
        <w:jc w:val="both"/>
      </w:pPr>
    </w:p>
    <w:p>
      <w:pPr>
        <w:ind w:right="-1" w:firstLine="567"/>
        <w:jc w:val="both"/>
        <w:rPr>
          <w:b/>
        </w:rPr>
      </w:pPr>
      <w:r>
        <w:rPr>
          <w:b/>
        </w:rPr>
        <w:t>4. Рекомендации по улучшению качества образования для образовательных организаций.</w:t>
      </w:r>
    </w:p>
    <w:p>
      <w:pPr>
        <w:ind w:right="-1" w:firstLine="567"/>
        <w:jc w:val="both"/>
        <w:rPr>
          <w:b/>
        </w:rPr>
      </w:pPr>
    </w:p>
    <w:p>
      <w:pPr>
        <w:ind w:right="-1" w:firstLine="567"/>
        <w:jc w:val="both"/>
      </w:pPr>
      <w:r>
        <w:t xml:space="preserve">Для более </w:t>
      </w:r>
      <w:r>
        <w:rPr>
          <w:lang w:val="ru-RU"/>
        </w:rPr>
        <w:t>чёткого</w:t>
      </w:r>
      <w:r>
        <w:t xml:space="preserve"> понимания основных проблем, выявленных при выполнении заданий ЕГЭ, следует обратить внимание на ряд изменений, произошедших в КИМах по химии за последние три года. Главным образом, они коснулись изменения формата заданий, в частности исключения заданий с выбором ответа, что привело к значительному понижению вероятности случайного угадывания правильного ответа. Появление двух новых заданий, где необходимо выбрать все правильные варианты ответа, что также вызывает затруднения у ряда учащихся. Переход в части 1 только на задания с кратким ответом предполагает необходимость системного уровня владения материалом, даже в случае с заданиями базового уровня сложности: выбор двух ответов из пяти, или установление </w:t>
      </w:r>
      <w:r>
        <w:rPr>
          <w:lang w:val="ru-RU"/>
        </w:rPr>
        <w:t>трёх</w:t>
      </w:r>
      <w:r>
        <w:t xml:space="preserve"> соответствий вынуждает учащегося анализировать больший объем информации и совершать в процессе выполнения большее количество мыслительных операций. Указанная специфика решения заданий предполагает переход к более глубокому анализу исходных данных в условии и гипотетическом определении возможных вариантов ответа, к реальным ответам, </w:t>
      </w:r>
      <w:r>
        <w:rPr>
          <w:lang w:val="ru-RU"/>
        </w:rPr>
        <w:t>приведённым</w:t>
      </w:r>
      <w:r>
        <w:t xml:space="preserve"> в перечне. При этом для правильного выполнения заданий важным является также и грамотная запись данных, </w:t>
      </w:r>
      <w:r>
        <w:rPr>
          <w:lang w:val="ru-RU"/>
        </w:rPr>
        <w:t>извлечённых</w:t>
      </w:r>
      <w:r>
        <w:t xml:space="preserve"> из условия задания, а также ответа на задание. Из </w:t>
      </w:r>
      <w:r>
        <w:rPr>
          <w:lang w:val="ru-RU"/>
        </w:rPr>
        <w:t>приведённого</w:t>
      </w:r>
      <w:r>
        <w:t xml:space="preserve"> описания подхода к решению следует, что одним из важнейших умений для выпускников становится умение находить нужную информацию, анализировать ее, фиксировать этапы решения. И в данном случае речь </w:t>
      </w:r>
      <w:r>
        <w:rPr>
          <w:lang w:val="ru-RU"/>
        </w:rPr>
        <w:t>идёт</w:t>
      </w:r>
      <w:r>
        <w:t xml:space="preserve"> не только о части 2, где запись решения является обязательной по причине требований к заданиям с </w:t>
      </w:r>
      <w:r>
        <w:rPr>
          <w:lang w:val="ru-RU"/>
        </w:rPr>
        <w:t>развёрнутым</w:t>
      </w:r>
      <w:r>
        <w:t xml:space="preserve"> ответом, но и о заданиях части 1, в которых запись решения не требуется. Данный аспект </w:t>
      </w:r>
      <w:r>
        <w:rPr>
          <w:lang w:val="ru-RU"/>
        </w:rPr>
        <w:t>подчёркивает</w:t>
      </w:r>
      <w:r>
        <w:t xml:space="preserve"> значимость формирования не только предметных, но и метапредметных планируемых результатов, важной составляющей которых являются универсальные учебные действия (УУД), которым уделено значительное внимание во ФГОС. Именно владение последними позволяет осуществлять поиск необходимой информации, извлекать ее из условия задания, анализировать, преобразовывать информацию в нужную форму в соответствии с требованиями.</w:t>
      </w:r>
    </w:p>
    <w:p>
      <w:pPr>
        <w:ind w:right="-1" w:firstLine="567"/>
        <w:jc w:val="both"/>
      </w:pPr>
      <w:r>
        <w:t>Предлагается при планировании и проведении занятий по химии учитывать требования ФГОС ООО и СОО. Основополагающим должен стать системно-деятельностный подход к обучению. В старшей школе продолжить развивать познавательные и регулятивные УУД, наиболее важными из которых, являются: умение работать с информацией, устанавливать причино-следственные связи, проводить логический анализ и синтез, планировать и проводит</w:t>
      </w:r>
      <w:r>
        <w:rPr>
          <w:lang w:val="ru-RU"/>
        </w:rPr>
        <w:t>ь</w:t>
      </w:r>
      <w:r>
        <w:t xml:space="preserve"> эксперимент, наблюдать и делать выводы, уметь прогнозировать свойства и реакционную способность веществ, классифицировать вещества, явления и химические реакции. При подготовке к государственной итоговой аттестации активно использовать кодификатор элементов содержания, спецификацию КИМ и демоверсию варианта КИМ ЕГЭ.</w:t>
      </w:r>
    </w:p>
    <w:p>
      <w:pPr>
        <w:ind w:right="-1" w:firstLine="567"/>
        <w:jc w:val="both"/>
      </w:pPr>
      <w:r>
        <w:t>Рекомендуется в качестве пособий использовать разработки с грифом «ФИПИ».</w:t>
      </w:r>
    </w:p>
    <w:p>
      <w:pPr>
        <w:ind w:right="-1" w:firstLine="567"/>
        <w:jc w:val="both"/>
        <w:rPr>
          <w:color w:val="000000"/>
        </w:rPr>
      </w:pPr>
      <w:r>
        <w:rPr>
          <w:color w:val="000000"/>
        </w:rPr>
        <w:t>Результаты ЕГЭ – 2022 позволяют рекомендовать учителям химии более эффективно использовать технологию продуктивного (смыслового) чтения. Формировать и развивать у обучаемых</w:t>
      </w:r>
      <w:r>
        <w:t xml:space="preserve"> </w:t>
      </w:r>
      <w:r>
        <w:rPr>
          <w:color w:val="000000"/>
        </w:rPr>
        <w:t>способность выделять главную мысль в тексте в соответствующем контексте.</w:t>
      </w:r>
      <w:r>
        <w:t xml:space="preserve"> </w:t>
      </w:r>
      <w:r>
        <w:rPr>
          <w:color w:val="000000"/>
        </w:rPr>
        <w:t>Систематически отрабатывать умение поиска и переработки информации,</w:t>
      </w:r>
      <w:r>
        <w:t xml:space="preserve"> </w:t>
      </w:r>
      <w:r>
        <w:rPr>
          <w:color w:val="000000"/>
        </w:rPr>
        <w:t>представленной в различной форме (текст, таблица, схема), ее анализ и синтез,</w:t>
      </w:r>
      <w:r>
        <w:t xml:space="preserve"> </w:t>
      </w:r>
      <w:r>
        <w:rPr>
          <w:color w:val="000000"/>
        </w:rPr>
        <w:t>сравнение и классификация.</w:t>
      </w:r>
      <w:r>
        <w:t xml:space="preserve"> </w:t>
      </w:r>
      <w:r>
        <w:rPr>
          <w:color w:val="000000"/>
        </w:rPr>
        <w:t>При</w:t>
      </w:r>
      <w:r>
        <w:t xml:space="preserve"> </w:t>
      </w:r>
      <w:r>
        <w:rPr>
          <w:color w:val="000000"/>
        </w:rPr>
        <w:t>подготовке</w:t>
      </w:r>
      <w:r>
        <w:t xml:space="preserve"> </w:t>
      </w:r>
      <w:r>
        <w:rPr>
          <w:color w:val="000000"/>
        </w:rPr>
        <w:t>к</w:t>
      </w:r>
      <w:r>
        <w:t xml:space="preserve"> </w:t>
      </w:r>
      <w:r>
        <w:rPr>
          <w:color w:val="000000"/>
        </w:rPr>
        <w:t>государственной</w:t>
      </w:r>
      <w:r>
        <w:t xml:space="preserve"> </w:t>
      </w:r>
      <w:r>
        <w:rPr>
          <w:color w:val="000000"/>
        </w:rPr>
        <w:t>аттестации</w:t>
      </w:r>
      <w:r>
        <w:t xml:space="preserve"> </w:t>
      </w:r>
      <w:r>
        <w:rPr>
          <w:color w:val="000000"/>
        </w:rPr>
        <w:t>систематически</w:t>
      </w:r>
      <w:r>
        <w:t xml:space="preserve"> </w:t>
      </w:r>
      <w:r>
        <w:rPr>
          <w:color w:val="000000"/>
        </w:rPr>
        <w:t>формировать понятийный аппарат на уровне знания и понимания важнейших</w:t>
      </w:r>
      <w:r>
        <w:t xml:space="preserve"> </w:t>
      </w:r>
      <w:r>
        <w:rPr>
          <w:color w:val="000000"/>
        </w:rPr>
        <w:t>химических понятий, основных законов и теорий химии и важнейших веществ,</w:t>
      </w:r>
      <w:r>
        <w:t xml:space="preserve"> </w:t>
      </w:r>
      <w:r>
        <w:rPr>
          <w:color w:val="000000"/>
        </w:rPr>
        <w:t>и материалов.</w:t>
      </w:r>
      <w:r>
        <w:t xml:space="preserve"> </w:t>
      </w:r>
      <w:r>
        <w:rPr>
          <w:color w:val="000000"/>
        </w:rPr>
        <w:t>Эффективней готовить выпускников к выполнению задания 33, которое в</w:t>
      </w:r>
      <w:r>
        <w:t xml:space="preserve"> </w:t>
      </w:r>
      <w:r>
        <w:rPr>
          <w:color w:val="000000"/>
        </w:rPr>
        <w:t>2022 году представляло собой комплексную комбинированную задачу, которой</w:t>
      </w:r>
      <w:r>
        <w:t xml:space="preserve"> </w:t>
      </w:r>
      <w:r>
        <w:rPr>
          <w:color w:val="000000"/>
        </w:rPr>
        <w:t>сочеталось</w:t>
      </w:r>
      <w:r>
        <w:t xml:space="preserve"> </w:t>
      </w:r>
      <w:r>
        <w:rPr>
          <w:color w:val="000000"/>
        </w:rPr>
        <w:t>несколько</w:t>
      </w:r>
      <w:r>
        <w:t xml:space="preserve"> </w:t>
      </w:r>
      <w:r>
        <w:rPr>
          <w:color w:val="000000"/>
        </w:rPr>
        <w:t>типов</w:t>
      </w:r>
      <w:r>
        <w:t xml:space="preserve"> </w:t>
      </w:r>
      <w:r>
        <w:rPr>
          <w:color w:val="000000"/>
        </w:rPr>
        <w:t>стехиометрических</w:t>
      </w:r>
      <w:r>
        <w:t xml:space="preserve"> </w:t>
      </w:r>
      <w:r>
        <w:rPr>
          <w:color w:val="000000"/>
        </w:rPr>
        <w:t>расчётов:</w:t>
      </w:r>
      <w:r>
        <w:t xml:space="preserve"> </w:t>
      </w:r>
      <w:r>
        <w:rPr>
          <w:color w:val="000000"/>
        </w:rPr>
        <w:t>на</w:t>
      </w:r>
      <w:r>
        <w:t xml:space="preserve"> </w:t>
      </w:r>
      <w:r>
        <w:rPr>
          <w:color w:val="000000"/>
        </w:rPr>
        <w:t>соотношение протонов в смеси химических соединений; на суммарное изменение</w:t>
      </w:r>
      <w:r>
        <w:t xml:space="preserve"> </w:t>
      </w:r>
      <w:r>
        <w:rPr>
          <w:color w:val="000000"/>
        </w:rPr>
        <w:t>массы реакционной смеси, сопровождающегося образованием осадка и выделения газа; на расчёт</w:t>
      </w:r>
      <w:r>
        <w:t xml:space="preserve"> </w:t>
      </w:r>
      <w:r>
        <w:rPr>
          <w:color w:val="000000"/>
        </w:rPr>
        <w:t>массовых долей веществ в исходной смеси и в реакционной смеси; на избыток</w:t>
      </w:r>
      <w:r>
        <w:t xml:space="preserve"> </w:t>
      </w:r>
      <w:r>
        <w:rPr>
          <w:color w:val="000000"/>
        </w:rPr>
        <w:t>и недостаток, на «растворимость».  В период подготовки к ЕГЭ-23 рекомендуем учителям после</w:t>
      </w:r>
      <w:r>
        <w:t xml:space="preserve"> </w:t>
      </w:r>
      <w:r>
        <w:rPr>
          <w:color w:val="000000"/>
        </w:rPr>
        <w:t>рассмотрения и освоения основных типов расчётных задач составлять и</w:t>
      </w:r>
      <w:r>
        <w:t xml:space="preserve"> </w:t>
      </w:r>
      <w:r>
        <w:rPr>
          <w:color w:val="000000"/>
        </w:rPr>
        <w:t>предлагать</w:t>
      </w:r>
      <w:r>
        <w:t xml:space="preserve"> </w:t>
      </w:r>
      <w:r>
        <w:rPr>
          <w:color w:val="000000"/>
        </w:rPr>
        <w:t>учащимся</w:t>
      </w:r>
      <w:r>
        <w:t xml:space="preserve"> </w:t>
      </w:r>
      <w:r>
        <w:rPr>
          <w:color w:val="000000"/>
        </w:rPr>
        <w:t>комбинированные задачи. Например, задачи на атомистику комбинировать с задачами на электролиз, на частичное разложение веществ, на металлическую пластинку, на образование смесей солей, на олеум и т.п.</w:t>
      </w:r>
    </w:p>
    <w:p>
      <w:pPr>
        <w:shd w:val="clear" w:color="auto" w:fill="FFFFFF"/>
        <w:ind w:firstLine="284"/>
        <w:rPr>
          <w:color w:val="000000"/>
        </w:rPr>
      </w:pPr>
      <w:r>
        <w:rPr>
          <w:color w:val="000000"/>
        </w:rPr>
        <w:t>При оформлении решения задач требовать от учеников раздела «Дано:..», который помогает осмыслить задание и при решении использовать все данные.</w:t>
      </w:r>
    </w:p>
    <w:p>
      <w:pPr>
        <w:shd w:val="clear" w:color="auto" w:fill="FFFFFF"/>
        <w:ind w:firstLine="567"/>
        <w:jc w:val="both"/>
        <w:rPr>
          <w:color w:val="000000"/>
        </w:rPr>
      </w:pPr>
      <w:r>
        <w:rPr>
          <w:color w:val="000000"/>
        </w:rPr>
        <w:t>Важно, при преподавании химии формировать метапредметные результаты обучения посредством таких видов действий как умение характеризовать вещества и явления, прогнозировать свойства веществ на основе особенностей их строения и учения о периодичности Д.И. Менделеева, устанавливать и объяснять причинно-следственные связи. Уметь классифицировать вещества и процессы по самостоятельно выбранным критериям, умение планировать и наблюдать эксперимент, фиксировать происшедшие изменения и самостоятельно делать выводы. Самостоятельно составлять алгоритм решения предлагаемых ему заданий, эксперимент по подтверждению генетической связи органических соединений и по распознаванию веществ.</w:t>
      </w:r>
    </w:p>
    <w:p>
      <w:pPr>
        <w:pStyle w:val="5"/>
        <w:ind w:left="0" w:firstLine="567"/>
        <w:jc w:val="both"/>
      </w:pPr>
      <w:r>
        <w:t xml:space="preserve">Целесообразно использовать проблемное обучение, так как оно способствует развитию следующий умений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w:t>
      </w:r>
      <w:r>
        <w:rPr>
          <w:lang w:val="ru-RU"/>
        </w:rPr>
        <w:t>учёта</w:t>
      </w:r>
      <w:r>
        <w:t xml:space="preserve"> интересов; формулировать, аргументировать и отстаивать </w:t>
      </w:r>
      <w:r>
        <w:rPr>
          <w:lang w:val="ru-RU"/>
        </w:rPr>
        <w:t>своё</w:t>
      </w:r>
      <w:r>
        <w:t xml:space="preserve"> мнение;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pPr>
        <w:pStyle w:val="5"/>
        <w:ind w:left="0" w:firstLine="567"/>
        <w:jc w:val="both"/>
      </w:pPr>
      <w:r>
        <w:t xml:space="preserve">Также можно использовать кейс – технологии </w:t>
      </w:r>
      <w:r>
        <w:rPr>
          <w:color w:val="202122"/>
          <w:shd w:val="clear" w:color="auto" w:fill="FFFFFF"/>
        </w:rPr>
        <w:t xml:space="preserve">техника обучения, использующая описание реальных жизненных ситуаций. Обучающиеся должны исследовать ситуацию, разобраться в сути проблем, предложить возможные решения и выбрать лучшее из них. Кейсы основываются на реальном фактическом материале или же приближены к реальной ситуации. Данная технология способствует развитию тех же умений, что и проблемное обучение, а также </w:t>
      </w:r>
      <w: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r>
        <w:rPr>
          <w:color w:val="202122"/>
          <w:shd w:val="clear" w:color="auto" w:fill="FFFFFF"/>
        </w:rPr>
        <w:t xml:space="preserve"> </w:t>
      </w:r>
      <w: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pPr>
        <w:pStyle w:val="5"/>
        <w:ind w:left="0" w:firstLine="567"/>
        <w:jc w:val="both"/>
        <w:rPr>
          <w:bCs/>
        </w:rPr>
      </w:pPr>
      <w:r>
        <w:rPr>
          <w:bCs/>
        </w:rPr>
        <w:t xml:space="preserve"> Очень удобно для ликвидации пробелов использовать технологию модульного обучения. </w:t>
      </w:r>
      <w:r>
        <w:rPr>
          <w:color w:val="000000"/>
        </w:rPr>
        <w:t xml:space="preserve">Модуль – это целевой функциональный узел, в котором объединено: учебное содержание и технология овладения им в систему высокого уровня целостности. Модульное обучение, в качестве одной из основных целей, преследует формирование у обучающихся навыков самостоятельной деятельности и самообразования. Сущность модульного обучения состоит в том, что ученик полностью самостоятельно (или с </w:t>
      </w:r>
      <w:r>
        <w:rPr>
          <w:color w:val="000000"/>
          <w:lang w:val="ru-RU"/>
        </w:rPr>
        <w:t>определённой</w:t>
      </w:r>
      <w:r>
        <w:rPr>
          <w:color w:val="000000"/>
        </w:rPr>
        <w:t xml:space="preserve"> дозой помощи) достигает конкретных целей учебно-познавательной деятельности. Обучение основано на формировании механизма мышления, а не на эксплуатации памяти! </w:t>
      </w:r>
    </w:p>
    <w:p>
      <w:pPr>
        <w:shd w:val="clear" w:color="auto" w:fill="FFFFFF"/>
        <w:rPr>
          <w:color w:val="000000"/>
        </w:rPr>
      </w:pPr>
      <w:r>
        <w:rPr>
          <w:color w:val="000000"/>
        </w:rPr>
        <w:t>Уделить особое внимание повторению и закреплению следующих тем курса химии средней школы:</w:t>
      </w:r>
    </w:p>
    <w:p>
      <w:pPr>
        <w:pStyle w:val="5"/>
        <w:numPr>
          <w:ilvl w:val="0"/>
          <w:numId w:val="4"/>
        </w:numPr>
        <w:shd w:val="clear" w:color="auto" w:fill="FFFFFF"/>
        <w:ind w:left="600" w:leftChars="0" w:firstLineChars="0"/>
        <w:rPr>
          <w:color w:val="000000"/>
        </w:rPr>
      </w:pPr>
      <w:r>
        <w:rPr>
          <w:color w:val="000000"/>
        </w:rPr>
        <w:t>Классификация и номенклатура органических и неорганических веществ (более детально рассмотреть тривиальную номенклатуру).</w:t>
      </w:r>
    </w:p>
    <w:p>
      <w:pPr>
        <w:pStyle w:val="5"/>
        <w:numPr>
          <w:ilvl w:val="0"/>
          <w:numId w:val="4"/>
        </w:numPr>
        <w:shd w:val="clear" w:color="auto" w:fill="FFFFFF"/>
        <w:ind w:left="600" w:leftChars="0" w:firstLineChars="0"/>
        <w:rPr>
          <w:color w:val="000000"/>
        </w:rPr>
      </w:pPr>
      <w:r>
        <w:rPr>
          <w:color w:val="000000"/>
        </w:rPr>
        <w:t>Взаимосвязь неорганических веществ.</w:t>
      </w:r>
    </w:p>
    <w:p>
      <w:pPr>
        <w:pStyle w:val="5"/>
        <w:numPr>
          <w:ilvl w:val="0"/>
          <w:numId w:val="4"/>
        </w:numPr>
        <w:shd w:val="clear" w:color="auto" w:fill="FFFFFF"/>
        <w:ind w:left="600" w:leftChars="0" w:firstLineChars="0"/>
        <w:jc w:val="both"/>
        <w:rPr>
          <w:color w:val="000000"/>
        </w:rPr>
      </w:pPr>
      <w:r>
        <w:rPr>
          <w:color w:val="000000"/>
        </w:rPr>
        <w:t>Характерные химические свойства неорганических веществ: простых веществ-металлов: щелочных, щелочноземельных, алюминия; переходных металлов: меди, цинка, хрома, железа;  простых веществ-неметаллов: водорода, галогенов, кислорода, серы, азота, фосфора, углерода, кремния; оксидов: оснóвных, амфотерных, кислотных; оснований и амфотерных гидроксидов; кислот; солей: средних, кислых, оснóвных, комплексных (на примере соединений  алюминия и цинка).</w:t>
      </w:r>
    </w:p>
    <w:p>
      <w:pPr>
        <w:pStyle w:val="5"/>
        <w:numPr>
          <w:ilvl w:val="0"/>
          <w:numId w:val="4"/>
        </w:numPr>
        <w:shd w:val="clear" w:color="auto" w:fill="FFFFFF"/>
        <w:ind w:left="600" w:leftChars="0" w:firstLineChars="0"/>
        <w:jc w:val="both"/>
        <w:rPr>
          <w:color w:val="000000"/>
        </w:rPr>
      </w:pPr>
      <w:r>
        <w:rPr>
          <w:color w:val="000000"/>
        </w:rPr>
        <w:t>Характерные химические свойства предельных одноатомных и многоатомных спиртов, фенола. Характерные химические свойства альдегидов, предельных карбоновых кислот, сложных эфиров. Основные способы получения кислородсодержащих органических соединений в лаборатории.</w:t>
      </w:r>
    </w:p>
    <w:p>
      <w:pPr>
        <w:pStyle w:val="5"/>
        <w:numPr>
          <w:ilvl w:val="0"/>
          <w:numId w:val="4"/>
        </w:numPr>
        <w:shd w:val="clear" w:color="auto" w:fill="FFFFFF"/>
        <w:ind w:left="600" w:leftChars="0" w:firstLineChars="0"/>
        <w:jc w:val="both"/>
        <w:rPr>
          <w:color w:val="000000"/>
        </w:rPr>
      </w:pPr>
      <w:r>
        <w:rPr>
          <w:color w:val="000000"/>
        </w:rPr>
        <w:t>Характерные химические свойства углеводородов: алканов, циклоалканов, алкенов, диенов, алкинов, ароматических углеводородов (бензола и толуола). Ионный и радикальный механизмы реакций в органической химии.</w:t>
      </w:r>
    </w:p>
    <w:p>
      <w:pPr>
        <w:pStyle w:val="5"/>
        <w:numPr>
          <w:ilvl w:val="0"/>
          <w:numId w:val="4"/>
        </w:numPr>
        <w:shd w:val="clear" w:color="auto" w:fill="FFFFFF"/>
        <w:ind w:left="600" w:leftChars="0" w:firstLineChars="0"/>
        <w:jc w:val="both"/>
        <w:rPr>
          <w:color w:val="000000"/>
        </w:rPr>
      </w:pPr>
      <w:r>
        <w:rPr>
          <w:color w:val="000000"/>
        </w:rPr>
        <w:t>Взаимосвязь между классами органических веществ.</w:t>
      </w:r>
    </w:p>
    <w:p>
      <w:pPr>
        <w:pStyle w:val="5"/>
        <w:numPr>
          <w:ilvl w:val="0"/>
          <w:numId w:val="4"/>
        </w:numPr>
        <w:shd w:val="clear" w:color="auto" w:fill="FFFFFF"/>
        <w:ind w:left="600" w:leftChars="0" w:firstLineChars="0"/>
        <w:jc w:val="both"/>
        <w:rPr>
          <w:color w:val="000000"/>
        </w:rPr>
      </w:pPr>
      <w:r>
        <w:rPr>
          <w:color w:val="000000"/>
        </w:rPr>
        <w:t>Классификация химических реакций в неорганической и органической химии.</w:t>
      </w:r>
    </w:p>
    <w:p>
      <w:pPr>
        <w:pStyle w:val="5"/>
        <w:numPr>
          <w:ilvl w:val="0"/>
          <w:numId w:val="4"/>
        </w:numPr>
        <w:shd w:val="clear" w:color="auto" w:fill="FFFFFF"/>
        <w:ind w:left="600" w:leftChars="0" w:firstLineChars="0"/>
        <w:jc w:val="both"/>
        <w:rPr>
          <w:color w:val="000000"/>
        </w:rPr>
      </w:pPr>
      <w:r>
        <w:rPr>
          <w:color w:val="000000"/>
        </w:rPr>
        <w:t>Скорость химических реакций и факторы, влияющие на скорость химических реакций.</w:t>
      </w:r>
    </w:p>
    <w:p>
      <w:pPr>
        <w:pStyle w:val="5"/>
        <w:numPr>
          <w:ilvl w:val="0"/>
          <w:numId w:val="4"/>
        </w:numPr>
        <w:shd w:val="clear" w:color="auto" w:fill="FFFFFF"/>
        <w:ind w:left="600" w:leftChars="0" w:firstLineChars="0"/>
        <w:jc w:val="both"/>
        <w:rPr>
          <w:color w:val="000000"/>
        </w:rPr>
      </w:pPr>
      <w:r>
        <w:rPr>
          <w:color w:val="000000"/>
        </w:rPr>
        <w:t>Гидролиз солей. Среда водных растворов: кислая, нейтральная, щелочная.</w:t>
      </w:r>
    </w:p>
    <w:p>
      <w:pPr>
        <w:pStyle w:val="5"/>
        <w:numPr>
          <w:ilvl w:val="0"/>
          <w:numId w:val="4"/>
        </w:numPr>
        <w:shd w:val="clear" w:color="auto" w:fill="FFFFFF"/>
        <w:ind w:left="600" w:leftChars="0" w:firstLineChars="0"/>
        <w:jc w:val="both"/>
        <w:rPr>
          <w:color w:val="000000"/>
        </w:rPr>
      </w:pPr>
      <w:r>
        <w:rPr>
          <w:color w:val="000000"/>
        </w:rPr>
        <w:t>Электролиз. В том числе и решение задач по уравнению реакции электролиз.</w:t>
      </w:r>
    </w:p>
    <w:p>
      <w:pPr>
        <w:pStyle w:val="5"/>
        <w:numPr>
          <w:ilvl w:val="0"/>
          <w:numId w:val="4"/>
        </w:numPr>
        <w:shd w:val="clear" w:color="auto" w:fill="FFFFFF"/>
        <w:ind w:left="600" w:leftChars="0" w:firstLineChars="0"/>
        <w:jc w:val="both"/>
        <w:rPr>
          <w:color w:val="000000"/>
        </w:rPr>
      </w:pPr>
      <w:r>
        <w:rPr>
          <w:color w:val="000000"/>
        </w:rPr>
        <w:t>Обратимые и необратимые химические реакции; химическое равновесие; смещение равновесия под действием различных факторов.</w:t>
      </w:r>
    </w:p>
    <w:p>
      <w:pPr>
        <w:pStyle w:val="5"/>
        <w:numPr>
          <w:ilvl w:val="0"/>
          <w:numId w:val="4"/>
        </w:numPr>
        <w:shd w:val="clear" w:color="auto" w:fill="FFFFFF"/>
        <w:ind w:left="600" w:leftChars="0" w:firstLineChars="0"/>
        <w:jc w:val="both"/>
        <w:rPr>
          <w:color w:val="000000"/>
        </w:rPr>
      </w:pPr>
      <w:r>
        <w:rPr>
          <w:color w:val="000000"/>
        </w:rPr>
        <w:t>Качественные реакции на неорганические вещества и ионы. Качественные реакции органических соединений.</w:t>
      </w:r>
    </w:p>
    <w:p>
      <w:pPr>
        <w:pStyle w:val="5"/>
        <w:numPr>
          <w:ilvl w:val="0"/>
          <w:numId w:val="4"/>
        </w:numPr>
        <w:shd w:val="clear" w:color="auto" w:fill="FFFFFF"/>
        <w:ind w:left="600" w:leftChars="0" w:firstLineChars="0"/>
        <w:jc w:val="both"/>
        <w:rPr>
          <w:color w:val="000000"/>
        </w:rPr>
      </w:pPr>
      <w:r>
        <w:rPr>
          <w:color w:val="000000"/>
        </w:rPr>
        <w:t>Реакции, подтверждающие взаимосвязь различных классов неорганических веществ.</w:t>
      </w:r>
    </w:p>
    <w:p>
      <w:pPr>
        <w:pStyle w:val="5"/>
        <w:numPr>
          <w:ilvl w:val="0"/>
          <w:numId w:val="4"/>
        </w:numPr>
        <w:shd w:val="clear" w:color="auto" w:fill="FFFFFF"/>
        <w:ind w:left="600" w:leftChars="0" w:firstLineChars="0"/>
        <w:jc w:val="both"/>
        <w:rPr>
          <w:color w:val="000000"/>
        </w:rPr>
      </w:pPr>
      <w:r>
        <w:rPr>
          <w:color w:val="000000"/>
          <w:lang w:val="ru-RU"/>
        </w:rPr>
        <w:t>Расчёты</w:t>
      </w:r>
      <w:bookmarkStart w:id="0" w:name="_GoBack"/>
      <w:bookmarkEnd w:id="0"/>
      <w:r>
        <w:rPr>
          <w:color w:val="000000"/>
        </w:rPr>
        <w:t xml:space="preserve"> по уравнениям реакций.</w:t>
      </w:r>
    </w:p>
    <w:p>
      <w:pPr>
        <w:pStyle w:val="5"/>
        <w:numPr>
          <w:ilvl w:val="0"/>
          <w:numId w:val="4"/>
        </w:numPr>
        <w:shd w:val="clear" w:color="auto" w:fill="FFFFFF"/>
        <w:ind w:left="600" w:leftChars="0" w:firstLineChars="0"/>
        <w:jc w:val="both"/>
        <w:rPr>
          <w:color w:val="000000"/>
        </w:rPr>
      </w:pPr>
      <w:r>
        <w:rPr>
          <w:color w:val="000000"/>
        </w:rPr>
        <w:t>Нахождение молекулярной формулы вещества, составление уравнений химических реакций, характеризующих свойства и способы получения органических веществ.</w:t>
      </w:r>
    </w:p>
    <w:p>
      <w:pPr>
        <w:shd w:val="clear" w:color="auto" w:fill="FFFFFF"/>
        <w:spacing w:line="256" w:lineRule="auto"/>
        <w:ind w:firstLine="142"/>
        <w:jc w:val="both"/>
        <w:rPr>
          <w:rFonts w:ascii="yandex-sans" w:hAnsi="yandex-sans"/>
          <w:color w:val="000000"/>
          <w:sz w:val="23"/>
          <w:szCs w:val="23"/>
          <w:lang w:eastAsia="en-US"/>
        </w:rPr>
      </w:pPr>
    </w:p>
    <w:sectPr>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yandex-sans">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54089"/>
    <w:multiLevelType w:val="multilevel"/>
    <w:tmpl w:val="06E540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6A569D"/>
    <w:multiLevelType w:val="multilevel"/>
    <w:tmpl w:val="096A56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5076432"/>
    <w:multiLevelType w:val="multilevel"/>
    <w:tmpl w:val="1507643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AF76DC0"/>
    <w:multiLevelType w:val="multilevel"/>
    <w:tmpl w:val="2AF76DC0"/>
    <w:lvl w:ilvl="0" w:tentative="0">
      <w:start w:val="1"/>
      <w:numFmt w:val="bullet"/>
      <w:lvlText w:val="•"/>
      <w:lvlJc w:val="left"/>
      <w:pPr>
        <w:ind w:left="600" w:hanging="360"/>
      </w:pPr>
      <w:rPr>
        <w:rFonts w:hint="default" w:ascii="Times New Roman" w:hAnsi="Times New Roman" w:cs="Times New Roman"/>
      </w:rPr>
    </w:lvl>
    <w:lvl w:ilvl="1" w:tentative="0">
      <w:start w:val="1"/>
      <w:numFmt w:val="bullet"/>
      <w:lvlText w:val="o"/>
      <w:lvlJc w:val="left"/>
      <w:pPr>
        <w:ind w:left="1320" w:hanging="360"/>
      </w:pPr>
      <w:rPr>
        <w:rFonts w:hint="default" w:ascii="Courier New" w:hAnsi="Courier New" w:cs="Courier New"/>
      </w:rPr>
    </w:lvl>
    <w:lvl w:ilvl="2" w:tentative="0">
      <w:start w:val="1"/>
      <w:numFmt w:val="bullet"/>
      <w:lvlText w:val=""/>
      <w:lvlJc w:val="left"/>
      <w:pPr>
        <w:ind w:left="2040" w:hanging="360"/>
      </w:pPr>
      <w:rPr>
        <w:rFonts w:hint="default" w:ascii="Wingdings" w:hAnsi="Wingdings"/>
      </w:rPr>
    </w:lvl>
    <w:lvl w:ilvl="3" w:tentative="0">
      <w:start w:val="1"/>
      <w:numFmt w:val="bullet"/>
      <w:lvlText w:val=""/>
      <w:lvlJc w:val="left"/>
      <w:pPr>
        <w:ind w:left="2760" w:hanging="360"/>
      </w:pPr>
      <w:rPr>
        <w:rFonts w:hint="default" w:ascii="Symbol" w:hAnsi="Symbol"/>
      </w:rPr>
    </w:lvl>
    <w:lvl w:ilvl="4" w:tentative="0">
      <w:start w:val="1"/>
      <w:numFmt w:val="bullet"/>
      <w:lvlText w:val="o"/>
      <w:lvlJc w:val="left"/>
      <w:pPr>
        <w:ind w:left="3480" w:hanging="360"/>
      </w:pPr>
      <w:rPr>
        <w:rFonts w:hint="default" w:ascii="Courier New" w:hAnsi="Courier New" w:cs="Courier New"/>
      </w:rPr>
    </w:lvl>
    <w:lvl w:ilvl="5" w:tentative="0">
      <w:start w:val="1"/>
      <w:numFmt w:val="bullet"/>
      <w:lvlText w:val=""/>
      <w:lvlJc w:val="left"/>
      <w:pPr>
        <w:ind w:left="4200" w:hanging="360"/>
      </w:pPr>
      <w:rPr>
        <w:rFonts w:hint="default" w:ascii="Wingdings" w:hAnsi="Wingdings"/>
      </w:rPr>
    </w:lvl>
    <w:lvl w:ilvl="6" w:tentative="0">
      <w:start w:val="1"/>
      <w:numFmt w:val="bullet"/>
      <w:lvlText w:val=""/>
      <w:lvlJc w:val="left"/>
      <w:pPr>
        <w:ind w:left="4920" w:hanging="360"/>
      </w:pPr>
      <w:rPr>
        <w:rFonts w:hint="default" w:ascii="Symbol" w:hAnsi="Symbol"/>
      </w:rPr>
    </w:lvl>
    <w:lvl w:ilvl="7" w:tentative="0">
      <w:start w:val="1"/>
      <w:numFmt w:val="bullet"/>
      <w:lvlText w:val="o"/>
      <w:lvlJc w:val="left"/>
      <w:pPr>
        <w:ind w:left="5640" w:hanging="360"/>
      </w:pPr>
      <w:rPr>
        <w:rFonts w:hint="default" w:ascii="Courier New" w:hAnsi="Courier New" w:cs="Courier New"/>
      </w:rPr>
    </w:lvl>
    <w:lvl w:ilvl="8" w:tentative="0">
      <w:start w:val="1"/>
      <w:numFmt w:val="bullet"/>
      <w:lvlText w:val=""/>
      <w:lvlJc w:val="left"/>
      <w:pPr>
        <w:ind w:left="636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autoHyphenation/>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F82"/>
    <w:rsid w:val="000542C4"/>
    <w:rsid w:val="00136739"/>
    <w:rsid w:val="001E69BC"/>
    <w:rsid w:val="0021192C"/>
    <w:rsid w:val="00242353"/>
    <w:rsid w:val="002833A8"/>
    <w:rsid w:val="003F6523"/>
    <w:rsid w:val="00522127"/>
    <w:rsid w:val="006441A3"/>
    <w:rsid w:val="00696F82"/>
    <w:rsid w:val="006B3C45"/>
    <w:rsid w:val="007B16B5"/>
    <w:rsid w:val="008633FC"/>
    <w:rsid w:val="008B3E5D"/>
    <w:rsid w:val="00C41371"/>
    <w:rsid w:val="00E147A1"/>
    <w:rsid w:val="38ED17E8"/>
    <w:rsid w:val="6D3763A7"/>
    <w:rsid w:val="7BD56A6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kern w:val="0"/>
      <w:sz w:val="24"/>
      <w:szCs w:val="24"/>
      <w:lang w:val="ru-RU" w:eastAsia="ru-RU"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çàãîëîâîê 5"/>
    <w:basedOn w:val="1"/>
    <w:uiPriority w:val="0"/>
    <w:pPr>
      <w:spacing w:line="420" w:lineRule="auto"/>
      <w:jc w:val="center"/>
    </w:pPr>
    <w:rPr>
      <w:rFonts w:eastAsia="Calibri"/>
      <w:color w:val="000000"/>
      <w:kern w:val="28"/>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user\Downloads\&#1045;&#1043;&#1069;-21-23-&#1089;&#1090;&#1072;&#1090;&#1080;&#1089;&#1090;&#1080;&#1082;&#1072;%20(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ru-RU" sz="1400" b="0" i="0" u="none" strike="noStrike" kern="1200" spc="0" baseline="0">
                <a:solidFill>
                  <a:schemeClr val="tx1">
                    <a:lumMod val="65000"/>
                    <a:lumOff val="35000"/>
                  </a:schemeClr>
                </a:solidFill>
                <a:latin typeface="+mn-lt"/>
                <a:ea typeface="+mn-ea"/>
                <a:cs typeface="+mn-cs"/>
              </a:defRPr>
            </a:pPr>
            <a:r>
              <a:rPr lang="ru-RU" sz="1400" b="1" i="0" u="none" strike="noStrike" kern="1200" cap="all" spc="0" baseline="0">
                <a:solidFill>
                  <a:sysClr val="windowText" lastClr="000000">
                    <a:lumMod val="65000"/>
                    <a:lumOff val="35000"/>
                  </a:sysClr>
                </a:solidFill>
                <a:effectLst/>
              </a:rPr>
              <a:t>Количество учащихся получивших соответствующий балл</a:t>
            </a:r>
            <a:endParaRPr lang="ru-RU" sz="1400" b="1" i="0" u="none" strike="noStrike" kern="1200" cap="all" spc="0" baseline="0">
              <a:solidFill>
                <a:sysClr val="windowText" lastClr="000000">
                  <a:lumMod val="65000"/>
                  <a:lumOff val="35000"/>
                </a:sysClr>
              </a:solidFill>
              <a:effectLst/>
            </a:endParaRPr>
          </a:p>
        </c:rich>
      </c:tx>
      <c:layout/>
      <c:overlay val="0"/>
      <c:spPr>
        <a:noFill/>
        <a:ln>
          <a:noFill/>
        </a:ln>
        <a:effectLst/>
      </c:spPr>
    </c:title>
    <c:autoTitleDeleted val="0"/>
    <c:plotArea>
      <c:layout/>
      <c:barChart>
        <c:barDir val="col"/>
        <c:grouping val="clustered"/>
        <c:varyColors val="0"/>
        <c:ser>
          <c:idx val="0"/>
          <c:order val="0"/>
          <c:tx>
            <c:strRef>
              <c:f>Лист1!$B$1</c:f>
              <c:strCache>
                <c:ptCount val="1"/>
                <c:pt idx="0">
                  <c:v>Кол-во</c:v>
                </c:pt>
              </c:strCache>
            </c:strRef>
          </c:tx>
          <c:spPr>
            <a:solidFill>
              <a:schemeClr val="accent1"/>
            </a:solidFill>
            <a:ln>
              <a:noFill/>
            </a:ln>
            <a:effectLst/>
          </c:spPr>
          <c:invertIfNegative val="0"/>
          <c:dLbls>
            <c:delete val="1"/>
          </c:dLbls>
          <c:cat>
            <c:numRef>
              <c:f>Лист1!$A$2:$A$49</c:f>
              <c:numCache>
                <c:formatCode>General</c:formatCode>
                <c:ptCount val="48"/>
                <c:pt idx="0">
                  <c:v>0</c:v>
                </c:pt>
                <c:pt idx="1">
                  <c:v>4</c:v>
                </c:pt>
                <c:pt idx="2">
                  <c:v>10</c:v>
                </c:pt>
                <c:pt idx="3">
                  <c:v>17</c:v>
                </c:pt>
                <c:pt idx="4">
                  <c:v>23</c:v>
                </c:pt>
                <c:pt idx="5">
                  <c:v>27</c:v>
                </c:pt>
                <c:pt idx="6">
                  <c:v>30</c:v>
                </c:pt>
                <c:pt idx="7">
                  <c:v>33</c:v>
                </c:pt>
                <c:pt idx="8">
                  <c:v>36</c:v>
                </c:pt>
                <c:pt idx="9">
                  <c:v>38</c:v>
                </c:pt>
                <c:pt idx="10">
                  <c:v>39</c:v>
                </c:pt>
                <c:pt idx="11">
                  <c:v>40</c:v>
                </c:pt>
                <c:pt idx="12">
                  <c:v>42</c:v>
                </c:pt>
                <c:pt idx="13">
                  <c:v>43</c:v>
                </c:pt>
                <c:pt idx="14">
                  <c:v>44</c:v>
                </c:pt>
                <c:pt idx="15">
                  <c:v>46</c:v>
                </c:pt>
                <c:pt idx="16">
                  <c:v>47</c:v>
                </c:pt>
                <c:pt idx="17">
                  <c:v>48</c:v>
                </c:pt>
                <c:pt idx="18">
                  <c:v>49</c:v>
                </c:pt>
                <c:pt idx="19">
                  <c:v>51</c:v>
                </c:pt>
                <c:pt idx="20">
                  <c:v>52</c:v>
                </c:pt>
                <c:pt idx="21">
                  <c:v>53</c:v>
                </c:pt>
                <c:pt idx="22">
                  <c:v>55</c:v>
                </c:pt>
                <c:pt idx="23">
                  <c:v>56</c:v>
                </c:pt>
                <c:pt idx="24">
                  <c:v>58</c:v>
                </c:pt>
                <c:pt idx="25">
                  <c:v>60</c:v>
                </c:pt>
                <c:pt idx="26">
                  <c:v>61</c:v>
                </c:pt>
                <c:pt idx="27">
                  <c:v>64</c:v>
                </c:pt>
                <c:pt idx="28">
                  <c:v>65</c:v>
                </c:pt>
                <c:pt idx="29">
                  <c:v>68</c:v>
                </c:pt>
                <c:pt idx="30">
                  <c:v>69</c:v>
                </c:pt>
                <c:pt idx="31">
                  <c:v>70</c:v>
                </c:pt>
                <c:pt idx="32">
                  <c:v>71</c:v>
                </c:pt>
                <c:pt idx="33">
                  <c:v>73</c:v>
                </c:pt>
                <c:pt idx="34">
                  <c:v>74</c:v>
                </c:pt>
                <c:pt idx="35">
                  <c:v>75</c:v>
                </c:pt>
                <c:pt idx="36">
                  <c:v>77</c:v>
                </c:pt>
                <c:pt idx="37">
                  <c:v>78</c:v>
                </c:pt>
                <c:pt idx="38">
                  <c:v>79</c:v>
                </c:pt>
                <c:pt idx="39">
                  <c:v>80</c:v>
                </c:pt>
                <c:pt idx="40">
                  <c:v>82</c:v>
                </c:pt>
                <c:pt idx="41">
                  <c:v>84</c:v>
                </c:pt>
                <c:pt idx="42">
                  <c:v>86</c:v>
                </c:pt>
                <c:pt idx="43">
                  <c:v>88</c:v>
                </c:pt>
                <c:pt idx="44">
                  <c:v>90</c:v>
                </c:pt>
                <c:pt idx="45">
                  <c:v>91</c:v>
                </c:pt>
                <c:pt idx="46">
                  <c:v>93</c:v>
                </c:pt>
                <c:pt idx="47">
                  <c:v>97</c:v>
                </c:pt>
              </c:numCache>
            </c:numRef>
          </c:cat>
          <c:val>
            <c:numRef>
              <c:f>Лист1!$B$2:$B$49</c:f>
              <c:numCache>
                <c:formatCode>General</c:formatCode>
                <c:ptCount val="48"/>
                <c:pt idx="0">
                  <c:v>1</c:v>
                </c:pt>
                <c:pt idx="1">
                  <c:v>1</c:v>
                </c:pt>
                <c:pt idx="2">
                  <c:v>1</c:v>
                </c:pt>
                <c:pt idx="3">
                  <c:v>2</c:v>
                </c:pt>
                <c:pt idx="4">
                  <c:v>2</c:v>
                </c:pt>
                <c:pt idx="5">
                  <c:v>2</c:v>
                </c:pt>
                <c:pt idx="6">
                  <c:v>2</c:v>
                </c:pt>
                <c:pt idx="7">
                  <c:v>1</c:v>
                </c:pt>
                <c:pt idx="8">
                  <c:v>1</c:v>
                </c:pt>
                <c:pt idx="9">
                  <c:v>4</c:v>
                </c:pt>
                <c:pt idx="10">
                  <c:v>2</c:v>
                </c:pt>
                <c:pt idx="11">
                  <c:v>2</c:v>
                </c:pt>
                <c:pt idx="12">
                  <c:v>3</c:v>
                </c:pt>
                <c:pt idx="13">
                  <c:v>6</c:v>
                </c:pt>
                <c:pt idx="14">
                  <c:v>3</c:v>
                </c:pt>
                <c:pt idx="15">
                  <c:v>2</c:v>
                </c:pt>
                <c:pt idx="16">
                  <c:v>4</c:v>
                </c:pt>
                <c:pt idx="17">
                  <c:v>5</c:v>
                </c:pt>
                <c:pt idx="18">
                  <c:v>5</c:v>
                </c:pt>
                <c:pt idx="19">
                  <c:v>5</c:v>
                </c:pt>
                <c:pt idx="20">
                  <c:v>4</c:v>
                </c:pt>
                <c:pt idx="21">
                  <c:v>2</c:v>
                </c:pt>
                <c:pt idx="22">
                  <c:v>4</c:v>
                </c:pt>
                <c:pt idx="23">
                  <c:v>4</c:v>
                </c:pt>
                <c:pt idx="24">
                  <c:v>2</c:v>
                </c:pt>
                <c:pt idx="25">
                  <c:v>1</c:v>
                </c:pt>
                <c:pt idx="26">
                  <c:v>4</c:v>
                </c:pt>
                <c:pt idx="27">
                  <c:v>3</c:v>
                </c:pt>
                <c:pt idx="28">
                  <c:v>2</c:v>
                </c:pt>
                <c:pt idx="29">
                  <c:v>1</c:v>
                </c:pt>
                <c:pt idx="30">
                  <c:v>5</c:v>
                </c:pt>
                <c:pt idx="31">
                  <c:v>1</c:v>
                </c:pt>
                <c:pt idx="32">
                  <c:v>1</c:v>
                </c:pt>
                <c:pt idx="33">
                  <c:v>3</c:v>
                </c:pt>
                <c:pt idx="34">
                  <c:v>2</c:v>
                </c:pt>
                <c:pt idx="35">
                  <c:v>1</c:v>
                </c:pt>
                <c:pt idx="36">
                  <c:v>2</c:v>
                </c:pt>
                <c:pt idx="37">
                  <c:v>4</c:v>
                </c:pt>
                <c:pt idx="38">
                  <c:v>6</c:v>
                </c:pt>
                <c:pt idx="39">
                  <c:v>4</c:v>
                </c:pt>
                <c:pt idx="40">
                  <c:v>3</c:v>
                </c:pt>
                <c:pt idx="41">
                  <c:v>2</c:v>
                </c:pt>
                <c:pt idx="42">
                  <c:v>6</c:v>
                </c:pt>
                <c:pt idx="43">
                  <c:v>1</c:v>
                </c:pt>
                <c:pt idx="44">
                  <c:v>5</c:v>
                </c:pt>
                <c:pt idx="45">
                  <c:v>3</c:v>
                </c:pt>
                <c:pt idx="46">
                  <c:v>3</c:v>
                </c:pt>
                <c:pt idx="47">
                  <c:v>2</c:v>
                </c:pt>
              </c:numCache>
            </c:numRef>
          </c:val>
        </c:ser>
        <c:dLbls>
          <c:showLegendKey val="0"/>
          <c:showVal val="0"/>
          <c:showCatName val="0"/>
          <c:showSerName val="0"/>
          <c:showPercent val="0"/>
          <c:showBubbleSize val="0"/>
        </c:dLbls>
        <c:gapWidth val="219"/>
        <c:overlap val="-27"/>
        <c:axId val="535832224"/>
        <c:axId val="535831864"/>
      </c:barChart>
      <c:catAx>
        <c:axId val="535832224"/>
        <c:scaling>
          <c:orientation val="minMax"/>
        </c:scaling>
        <c:delete val="0"/>
        <c:axPos val="b"/>
        <c:title>
          <c:tx>
            <c:rich>
              <a:bodyPr rot="0" spcFirstLastPara="1" vertOverflow="ellipsis" vert="horz" wrap="square" anchor="ctr" anchorCtr="1"/>
              <a:lstStyle/>
              <a:p>
                <a:pPr>
                  <a:defRPr lang="ru-RU" sz="1000" b="0" i="0" u="none" strike="noStrike" kern="1200" baseline="0">
                    <a:solidFill>
                      <a:schemeClr val="tx1">
                        <a:lumMod val="65000"/>
                        <a:lumOff val="35000"/>
                      </a:schemeClr>
                    </a:solidFill>
                    <a:latin typeface="+mn-lt"/>
                    <a:ea typeface="+mn-ea"/>
                    <a:cs typeface="+mn-cs"/>
                  </a:defRPr>
                </a:pPr>
                <a:r>
                  <a:rPr lang="ru-RU"/>
                  <a:t>Баллы</a:t>
                </a:r>
                <a:endParaRPr lang="ru-RU"/>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p>
        </c:txPr>
        <c:crossAx val="535831864"/>
        <c:crosses val="autoZero"/>
        <c:auto val="1"/>
        <c:lblAlgn val="ctr"/>
        <c:lblOffset val="100"/>
        <c:noMultiLvlLbl val="0"/>
      </c:catAx>
      <c:valAx>
        <c:axId val="535831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ru-RU" sz="1000" b="0" i="0" u="none" strike="noStrike" kern="1200" baseline="0">
                    <a:solidFill>
                      <a:schemeClr val="tx1">
                        <a:lumMod val="65000"/>
                        <a:lumOff val="35000"/>
                      </a:schemeClr>
                    </a:solidFill>
                    <a:latin typeface="+mn-lt"/>
                    <a:ea typeface="+mn-ea"/>
                    <a:cs typeface="+mn-cs"/>
                  </a:defRPr>
                </a:pPr>
                <a:r>
                  <a:rPr lang="ru-RU"/>
                  <a:t>количество участников </a:t>
                </a:r>
                <a:endParaRPr lang="ru-RU"/>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p>
        </c:txPr>
        <c:crossAx val="535832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ru-RU"/>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ru-RU" sz="1400" b="0" i="0" u="none" strike="noStrike" kern="1200" spc="0" baseline="0">
                <a:solidFill>
                  <a:schemeClr val="tx1">
                    <a:lumMod val="65000"/>
                    <a:lumOff val="35000"/>
                  </a:schemeClr>
                </a:solidFill>
                <a:latin typeface="+mn-lt"/>
                <a:ea typeface="+mn-ea"/>
                <a:cs typeface="+mn-cs"/>
              </a:defRPr>
            </a:pPr>
            <a:r>
              <a:rPr lang="ru-RU"/>
              <a:t>Успеваемость (%)</a:t>
            </a:r>
            <a:endParaRPr lang="ru-RU"/>
          </a:p>
        </c:rich>
      </c:tx>
      <c:layout/>
      <c:overlay val="0"/>
      <c:spPr>
        <a:noFill/>
        <a:ln>
          <a:noFill/>
        </a:ln>
        <a:effectLst/>
      </c:spPr>
    </c:title>
    <c:autoTitleDeleted val="0"/>
    <c:plotArea>
      <c:layout/>
      <c:barChart>
        <c:barDir val="col"/>
        <c:grouping val="clustered"/>
        <c:varyColors val="0"/>
        <c:ser>
          <c:idx val="0"/>
          <c:order val="0"/>
          <c:tx>
            <c:strRef>
              <c:f>Лист1!$B$1:$B$2</c:f>
              <c:strCache>
                <c:ptCount val="1"/>
                <c:pt idx="0">
                  <c:v>ОО Успеваемость (%)</c:v>
                </c:pt>
              </c:strCache>
            </c:strRef>
          </c:tx>
          <c:spPr>
            <a:solidFill>
              <a:schemeClr val="accent1"/>
            </a:solidFill>
            <a:ln>
              <a:noFill/>
            </a:ln>
            <a:effectLst/>
          </c:spPr>
          <c:invertIfNegative val="0"/>
          <c:dLbls>
            <c:delete val="1"/>
          </c:dLbls>
          <c:cat>
            <c:strRef>
              <c:f>Лист1!$A$3:$A$30</c:f>
              <c:strCache>
                <c:ptCount val="28"/>
                <c:pt idx="0">
                  <c:v>МОАУ "Гимназия № 1 г.Орска"</c:v>
                </c:pt>
                <c:pt idx="1">
                  <c:v>МОАУ "Гимназия № 2 г.Орска"</c:v>
                </c:pt>
                <c:pt idx="2">
                  <c:v>МОАУ "Гимназия № 3 г.Орска"</c:v>
                </c:pt>
                <c:pt idx="3">
                  <c:v> МОАУ "СОШ № 1 г.Орска"</c:v>
                </c:pt>
                <c:pt idx="4">
                  <c:v>МОАУ "СОШ № 2 г. Орска"</c:v>
                </c:pt>
                <c:pt idx="5">
                  <c:v>МОАУ "СОШ № 5 г. Орска"</c:v>
                </c:pt>
                <c:pt idx="6">
                  <c:v>МОАУ "СОШ № 6 г. Орска"</c:v>
                </c:pt>
                <c:pt idx="7">
                  <c:v>МОАУ "СОШ № 8 г. Орска"</c:v>
                </c:pt>
                <c:pt idx="8">
                  <c:v> МОАУ "СОШ № 11 г.Орска"</c:v>
                </c:pt>
                <c:pt idx="9">
                  <c:v>МОАУ "СОШ № 13 г. Орска"</c:v>
                </c:pt>
                <c:pt idx="10">
                  <c:v>МОАУ "СОШ № 17 г. Орска"</c:v>
                </c:pt>
                <c:pt idx="11">
                  <c:v>МОАУ " СОШ № 23 г. Орска"</c:v>
                </c:pt>
                <c:pt idx="12">
                  <c:v>МОАУ "СОШ № 24 г. Орска"</c:v>
                </c:pt>
                <c:pt idx="13">
                  <c:v>МОАУ "СОШ № 25 г. Орска"</c:v>
                </c:pt>
                <c:pt idx="14">
                  <c:v>МОАУ "СОШ № 27 г. Орска"</c:v>
                </c:pt>
                <c:pt idx="15">
                  <c:v>МОАУ "СОШ № 28 г. Орска"</c:v>
                </c:pt>
                <c:pt idx="16">
                  <c:v>МОАУ "СОШ № 29 г. Орска"</c:v>
                </c:pt>
                <c:pt idx="17">
                  <c:v>МОАУ "СОШ № 31 г. Орска"</c:v>
                </c:pt>
                <c:pt idx="18">
                  <c:v>МОАУ " СОШ № 35 г. Орска"</c:v>
                </c:pt>
                <c:pt idx="19">
                  <c:v>МОАУ " СОШ № 37 г. Орска"</c:v>
                </c:pt>
                <c:pt idx="20">
                  <c:v>МОАУ " СОШ № 38 г. Орска"</c:v>
                </c:pt>
                <c:pt idx="21">
                  <c:v> МОАУ "СОШ № 43 г.Орска"</c:v>
                </c:pt>
                <c:pt idx="22">
                  <c:v>МОАУ "СОШ № 50 г. Орска"</c:v>
                </c:pt>
                <c:pt idx="23">
                  <c:v>МОАУ "СОШ № 52 г. Орска"</c:v>
                </c:pt>
                <c:pt idx="24">
                  <c:v>МОАУ "СОШ № 53 г. Орска"</c:v>
                </c:pt>
                <c:pt idx="25">
                  <c:v>МОАУ "СОШ № 54 г. Орска"</c:v>
                </c:pt>
                <c:pt idx="26">
                  <c:v>МОАУ "СОШ № 88 г. Орска"</c:v>
                </c:pt>
                <c:pt idx="27">
                  <c:v>ЧОУ "Православная гимназия"</c:v>
                </c:pt>
              </c:strCache>
            </c:strRef>
          </c:cat>
          <c:val>
            <c:numRef>
              <c:f>Лист1!$B$3:$B$30</c:f>
              <c:numCache>
                <c:formatCode>0.0</c:formatCode>
                <c:ptCount val="28"/>
                <c:pt idx="0">
                  <c:v>100</c:v>
                </c:pt>
                <c:pt idx="1">
                  <c:v>100</c:v>
                </c:pt>
                <c:pt idx="2">
                  <c:v>100</c:v>
                </c:pt>
                <c:pt idx="3">
                  <c:v>100</c:v>
                </c:pt>
                <c:pt idx="4">
                  <c:v>100</c:v>
                </c:pt>
                <c:pt idx="5">
                  <c:v>50</c:v>
                </c:pt>
                <c:pt idx="6">
                  <c:v>100</c:v>
                </c:pt>
                <c:pt idx="7">
                  <c:v>100</c:v>
                </c:pt>
                <c:pt idx="8">
                  <c:v>100</c:v>
                </c:pt>
                <c:pt idx="9">
                  <c:v>75</c:v>
                </c:pt>
                <c:pt idx="10">
                  <c:v>33.3</c:v>
                </c:pt>
                <c:pt idx="11">
                  <c:v>0</c:v>
                </c:pt>
                <c:pt idx="12">
                  <c:v>100</c:v>
                </c:pt>
                <c:pt idx="13">
                  <c:v>100</c:v>
                </c:pt>
                <c:pt idx="14">
                  <c:v>81.8</c:v>
                </c:pt>
                <c:pt idx="15">
                  <c:v>100</c:v>
                </c:pt>
                <c:pt idx="16">
                  <c:v>100</c:v>
                </c:pt>
                <c:pt idx="17">
                  <c:v>100</c:v>
                </c:pt>
                <c:pt idx="18">
                  <c:v>66.7</c:v>
                </c:pt>
                <c:pt idx="19">
                  <c:v>100</c:v>
                </c:pt>
                <c:pt idx="20">
                  <c:v>100</c:v>
                </c:pt>
                <c:pt idx="21">
                  <c:v>100</c:v>
                </c:pt>
                <c:pt idx="22">
                  <c:v>100</c:v>
                </c:pt>
                <c:pt idx="23">
                  <c:v>85.7</c:v>
                </c:pt>
                <c:pt idx="24">
                  <c:v>100</c:v>
                </c:pt>
                <c:pt idx="25">
                  <c:v>80</c:v>
                </c:pt>
                <c:pt idx="26">
                  <c:v>71.4</c:v>
                </c:pt>
                <c:pt idx="27">
                  <c:v>100</c:v>
                </c:pt>
              </c:numCache>
            </c:numRef>
          </c:val>
        </c:ser>
        <c:dLbls>
          <c:showLegendKey val="0"/>
          <c:showVal val="0"/>
          <c:showCatName val="0"/>
          <c:showSerName val="0"/>
          <c:showPercent val="0"/>
          <c:showBubbleSize val="0"/>
        </c:dLbls>
        <c:gapWidth val="219"/>
        <c:overlap val="-27"/>
        <c:axId val="532682200"/>
        <c:axId val="532673560"/>
      </c:barChart>
      <c:catAx>
        <c:axId val="532682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p>
        </c:txPr>
        <c:crossAx val="532673560"/>
        <c:crosses val="autoZero"/>
        <c:auto val="1"/>
        <c:lblAlgn val="ctr"/>
        <c:lblOffset val="100"/>
        <c:noMultiLvlLbl val="0"/>
      </c:catAx>
      <c:valAx>
        <c:axId val="53267356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lang="ru-RU" sz="900" b="0" i="0" u="none" strike="noStrike" kern="1200" baseline="0">
                <a:solidFill>
                  <a:schemeClr val="tx1">
                    <a:lumMod val="65000"/>
                    <a:lumOff val="35000"/>
                  </a:schemeClr>
                </a:solidFill>
                <a:latin typeface="+mn-lt"/>
                <a:ea typeface="+mn-ea"/>
                <a:cs typeface="+mn-cs"/>
              </a:defRPr>
            </a:pPr>
          </a:p>
        </c:txPr>
        <c:crossAx val="532682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ru-RU"/>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4548</Words>
  <Characters>25925</Characters>
  <Lines>216</Lines>
  <Paragraphs>60</Paragraphs>
  <TotalTime>40</TotalTime>
  <ScaleCrop>false</ScaleCrop>
  <LinksUpToDate>false</LinksUpToDate>
  <CharactersWithSpaces>30413</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2023-08-08T18:12:00Z</dcterms:created>
  <dc:creator>walentinka81@mail.ru</dc:creator>
  <cp:lastModifiedBy>WPS_1663998894</cp:lastModifiedBy>
  <dcterms:modified xsi:type="dcterms:W3CDTF">2023-09-10T10:59:04Z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A18E0B5CF4044E10B6C0743FD9F77ADE</vt:lpwstr>
  </property>
</Properties>
</file>